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FB5823">
      <w:pPr>
        <w:spacing w:line="360" w:lineRule="auto"/>
        <w:ind w:firstLine="160"/>
        <w:rPr>
          <w:rFonts w:ascii="CESI黑体-GB2312" w:hAnsi="CESI黑体-GB2312" w:eastAsia="CESI黑体-GB2312" w:cs="CESI黑体-GB2312"/>
          <w:color w:val="auto"/>
          <w:sz w:val="32"/>
          <w:szCs w:val="32"/>
          <w:highlight w:val="none"/>
        </w:rPr>
      </w:pPr>
    </w:p>
    <w:p w14:paraId="2C0EBDB1">
      <w:pPr>
        <w:spacing w:line="360" w:lineRule="auto"/>
        <w:ind w:firstLine="300"/>
        <w:rPr>
          <w:color w:val="auto"/>
          <w:sz w:val="60"/>
          <w:szCs w:val="60"/>
          <w:highlight w:val="none"/>
        </w:rPr>
      </w:pPr>
    </w:p>
    <w:p w14:paraId="439A28A5">
      <w:pPr>
        <w:jc w:val="center"/>
        <w:rPr>
          <w:b/>
          <w:bCs/>
          <w:color w:val="auto"/>
          <w:sz w:val="60"/>
          <w:szCs w:val="60"/>
          <w:highlight w:val="none"/>
        </w:rPr>
      </w:pPr>
      <w:r>
        <w:rPr>
          <w:b/>
          <w:bCs/>
          <w:color w:val="auto"/>
          <w:sz w:val="60"/>
          <w:szCs w:val="60"/>
          <w:highlight w:val="none"/>
        </w:rPr>
        <w:t>常州市政府采购项目</w:t>
      </w:r>
    </w:p>
    <w:p w14:paraId="64377634">
      <w:pPr>
        <w:jc w:val="center"/>
        <w:rPr>
          <w:b/>
          <w:bCs/>
          <w:color w:val="auto"/>
          <w:sz w:val="60"/>
          <w:szCs w:val="60"/>
          <w:highlight w:val="none"/>
        </w:rPr>
      </w:pPr>
      <w:r>
        <w:rPr>
          <w:b/>
          <w:bCs/>
          <w:color w:val="auto"/>
          <w:sz w:val="60"/>
          <w:szCs w:val="60"/>
          <w:highlight w:val="none"/>
        </w:rPr>
        <w:t>竞争性磋商文件</w:t>
      </w:r>
    </w:p>
    <w:p w14:paraId="1DED92DF">
      <w:pPr>
        <w:spacing w:line="360" w:lineRule="auto"/>
        <w:jc w:val="center"/>
        <w:rPr>
          <w:rFonts w:ascii="宋体" w:hAnsi="宋体"/>
          <w:b/>
          <w:bCs/>
          <w:color w:val="auto"/>
          <w:sz w:val="60"/>
          <w:szCs w:val="60"/>
          <w:highlight w:val="none"/>
        </w:rPr>
      </w:pPr>
    </w:p>
    <w:p w14:paraId="32474F24">
      <w:pPr>
        <w:tabs>
          <w:tab w:val="left" w:pos="5609"/>
        </w:tabs>
        <w:spacing w:line="360" w:lineRule="auto"/>
        <w:jc w:val="left"/>
        <w:rPr>
          <w:bCs/>
          <w:color w:val="auto"/>
          <w:sz w:val="36"/>
          <w:szCs w:val="36"/>
          <w:highlight w:val="none"/>
        </w:rPr>
      </w:pPr>
    </w:p>
    <w:p w14:paraId="2F51EBFE">
      <w:pPr>
        <w:tabs>
          <w:tab w:val="left" w:pos="5609"/>
        </w:tabs>
        <w:spacing w:line="360" w:lineRule="auto"/>
        <w:ind w:left="2518" w:leftChars="342" w:hanging="1800" w:hangingChars="500"/>
        <w:jc w:val="left"/>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钟楼区区域卫生信息化运维服务</w:t>
      </w:r>
    </w:p>
    <w:p w14:paraId="19AC9C96">
      <w:pPr>
        <w:tabs>
          <w:tab w:val="left" w:pos="5609"/>
        </w:tabs>
        <w:spacing w:line="360" w:lineRule="auto"/>
        <w:ind w:firstLine="720"/>
        <w:jc w:val="left"/>
        <w:rPr>
          <w:rFonts w:hint="default" w:eastAsia="宋体"/>
          <w:bCs/>
          <w:color w:val="auto"/>
          <w:sz w:val="36"/>
          <w:szCs w:val="36"/>
          <w:highlight w:val="none"/>
          <w:lang w:val="en-US" w:eastAsia="zh-CN"/>
        </w:rPr>
      </w:pPr>
      <w:r>
        <w:rPr>
          <w:bCs/>
          <w:color w:val="auto"/>
          <w:sz w:val="36"/>
          <w:szCs w:val="36"/>
          <w:highlight w:val="none"/>
        </w:rPr>
        <w:t>项目编号：</w:t>
      </w:r>
      <w:r>
        <w:rPr>
          <w:rFonts w:hint="eastAsia"/>
          <w:bCs/>
          <w:color w:val="auto"/>
          <w:sz w:val="36"/>
          <w:szCs w:val="36"/>
          <w:highlight w:val="none"/>
          <w:lang w:eastAsia="zh-CN"/>
        </w:rPr>
        <w:t>JSZC-320404-YTZB-C2025-0123</w:t>
      </w:r>
    </w:p>
    <w:p w14:paraId="271F405A">
      <w:pPr>
        <w:tabs>
          <w:tab w:val="left" w:pos="3240"/>
          <w:tab w:val="left" w:pos="3420"/>
        </w:tabs>
        <w:spacing w:line="360" w:lineRule="auto"/>
        <w:ind w:firstLine="720"/>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常州市钟楼区卫生健康局</w:t>
      </w:r>
    </w:p>
    <w:p w14:paraId="5E7DE6BB">
      <w:pPr>
        <w:tabs>
          <w:tab w:val="left" w:pos="3240"/>
          <w:tab w:val="left" w:pos="3420"/>
        </w:tabs>
        <w:spacing w:line="360" w:lineRule="auto"/>
        <w:ind w:firstLine="720"/>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常州盈泰招标有限公司</w:t>
      </w:r>
    </w:p>
    <w:p w14:paraId="1E6FD370">
      <w:pPr>
        <w:widowControl/>
        <w:jc w:val="left"/>
        <w:rPr>
          <w:color w:val="auto"/>
          <w:sz w:val="24"/>
          <w:highlight w:val="none"/>
        </w:rPr>
        <w:sectPr>
          <w:headerReference r:id="rId5" w:type="first"/>
          <w:footerReference r:id="rId8" w:type="first"/>
          <w:headerReference r:id="rId3" w:type="default"/>
          <w:footerReference r:id="rId6" w:type="default"/>
          <w:headerReference r:id="rId4" w:type="even"/>
          <w:footerReference r:id="rId7" w:type="even"/>
          <w:type w:val="nextColumn"/>
          <w:pgSz w:w="11907" w:h="16838"/>
          <w:pgMar w:top="1417" w:right="1134" w:bottom="1417" w:left="1161" w:header="850" w:footer="850" w:gutter="0"/>
          <w:pgBorders>
            <w:top w:val="none" w:sz="0" w:space="0"/>
            <w:left w:val="none" w:sz="0" w:space="0"/>
            <w:bottom w:val="none" w:sz="0" w:space="0"/>
            <w:right w:val="none" w:sz="0" w:space="0"/>
          </w:pgBorders>
          <w:pgNumType w:start="1"/>
          <w:cols w:space="0" w:num="1"/>
          <w:titlePg/>
          <w:docGrid w:linePitch="360" w:charSpace="0"/>
        </w:sectPr>
      </w:pPr>
      <w:r>
        <w:rPr>
          <w:color w:val="auto"/>
          <w:sz w:val="24"/>
          <w:highlight w:val="none"/>
        </w:rPr>
        <w:br w:type="page" w:clear="all"/>
      </w:r>
    </w:p>
    <w:p w14:paraId="5A317D33">
      <w:pPr>
        <w:widowControl/>
        <w:jc w:val="left"/>
        <w:rPr>
          <w:color w:val="auto"/>
          <w:sz w:val="24"/>
          <w:highlight w:val="none"/>
        </w:rPr>
      </w:pPr>
    </w:p>
    <w:p w14:paraId="561D7FF1">
      <w:pPr>
        <w:pStyle w:val="44"/>
        <w:spacing w:line="360" w:lineRule="auto"/>
        <w:rPr>
          <w:rFonts w:ascii="Times New Roman" w:hAnsi="Times New Roman" w:cs="Times New Roman"/>
          <w:color w:val="auto"/>
          <w:highlight w:val="none"/>
        </w:rPr>
      </w:pPr>
    </w:p>
    <w:p w14:paraId="71EFCD7B">
      <w:pPr>
        <w:spacing w:line="360" w:lineRule="auto"/>
        <w:jc w:val="center"/>
        <w:outlineLvl w:val="0"/>
        <w:rPr>
          <w:b/>
          <w:color w:val="auto"/>
          <w:sz w:val="36"/>
          <w:szCs w:val="36"/>
          <w:highlight w:val="none"/>
        </w:rPr>
      </w:pPr>
      <w:bookmarkStart w:id="0" w:name="_Toc19025"/>
      <w:bookmarkStart w:id="1" w:name="_Toc139291591"/>
      <w:bookmarkStart w:id="2" w:name="_Toc24329"/>
      <w:bookmarkStart w:id="3" w:name="_Toc104818924"/>
      <w:r>
        <w:rPr>
          <w:rFonts w:hint="eastAsia"/>
          <w:b/>
          <w:color w:val="auto"/>
          <w:sz w:val="36"/>
          <w:szCs w:val="36"/>
          <w:highlight w:val="none"/>
        </w:rPr>
        <w:t>目录</w:t>
      </w:r>
      <w:bookmarkEnd w:id="0"/>
      <w:bookmarkEnd w:id="1"/>
      <w:bookmarkEnd w:id="2"/>
      <w:bookmarkEnd w:id="3"/>
    </w:p>
    <w:p w14:paraId="37ACCF4D">
      <w:pPr>
        <w:rPr>
          <w:color w:val="auto"/>
          <w:highlight w:val="none"/>
        </w:rPr>
      </w:pPr>
    </w:p>
    <w:p w14:paraId="7246E07C">
      <w:pPr>
        <w:rPr>
          <w:color w:val="auto"/>
          <w:highlight w:val="none"/>
        </w:rPr>
      </w:pPr>
    </w:p>
    <w:p w14:paraId="11C7E50A">
      <w:pPr>
        <w:rPr>
          <w:color w:val="auto"/>
          <w:highlight w:val="none"/>
        </w:rPr>
      </w:pPr>
    </w:p>
    <w:p w14:paraId="210D33AD">
      <w:pPr>
        <w:rPr>
          <w:color w:val="auto"/>
          <w:highlight w:val="none"/>
        </w:rPr>
      </w:pPr>
    </w:p>
    <w:p w14:paraId="44F5A1E9">
      <w:pPr>
        <w:pStyle w:val="26"/>
        <w:tabs>
          <w:tab w:val="right" w:leader="dot" w:pos="9412"/>
          <w:tab w:val="clear" w:pos="1050"/>
          <w:tab w:val="clear" w:pos="8937"/>
        </w:tabs>
        <w:rPr>
          <w:color w:val="auto"/>
          <w:sz w:val="32"/>
          <w:szCs w:val="32"/>
          <w:highlight w:val="none"/>
        </w:rPr>
      </w:pPr>
      <w:r>
        <w:rPr>
          <w:rFonts w:ascii="Times New Roman" w:hAnsi="Times New Roman"/>
          <w:b w:val="0"/>
          <w:color w:val="auto"/>
          <w:sz w:val="44"/>
          <w:szCs w:val="44"/>
          <w:highlight w:val="none"/>
        </w:rPr>
        <w:fldChar w:fldCharType="begin"/>
      </w:r>
      <w:r>
        <w:rPr>
          <w:rFonts w:ascii="Times New Roman" w:hAnsi="Times New Roman"/>
          <w:b w:val="0"/>
          <w:color w:val="auto"/>
          <w:sz w:val="44"/>
          <w:szCs w:val="44"/>
          <w:highlight w:val="none"/>
        </w:rPr>
        <w:instrText xml:space="preserve"> TOC \o "1-1" \h \z \u </w:instrText>
      </w:r>
      <w:r>
        <w:rPr>
          <w:rFonts w:ascii="Times New Roman" w:hAnsi="Times New Roman"/>
          <w:b w:val="0"/>
          <w:color w:val="auto"/>
          <w:sz w:val="44"/>
          <w:szCs w:val="44"/>
          <w:highlight w:val="none"/>
        </w:rPr>
        <w:fldChar w:fldCharType="separate"/>
      </w:r>
      <w:r>
        <w:rPr>
          <w:color w:val="auto"/>
          <w:highlight w:val="none"/>
        </w:rPr>
        <w:fldChar w:fldCharType="begin"/>
      </w:r>
      <w:r>
        <w:rPr>
          <w:color w:val="auto"/>
          <w:highlight w:val="none"/>
        </w:rPr>
        <w:instrText xml:space="preserve"> HYPERLINK \l "_Toc21157" </w:instrText>
      </w:r>
      <w:r>
        <w:rPr>
          <w:color w:val="auto"/>
          <w:highlight w:val="none"/>
        </w:rPr>
        <w:fldChar w:fldCharType="separate"/>
      </w:r>
      <w:r>
        <w:rPr>
          <w:color w:val="auto"/>
          <w:sz w:val="32"/>
          <w:szCs w:val="44"/>
          <w:highlight w:val="none"/>
        </w:rPr>
        <w:t>第一章   采购邀请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_Toc21157 \h </w:instrText>
      </w:r>
      <w:r>
        <w:rPr>
          <w:color w:val="auto"/>
          <w:sz w:val="32"/>
          <w:szCs w:val="32"/>
          <w:highlight w:val="none"/>
        </w:rPr>
        <w:fldChar w:fldCharType="separate"/>
      </w:r>
      <w:r>
        <w:rPr>
          <w:color w:val="auto"/>
          <w:sz w:val="32"/>
          <w:szCs w:val="32"/>
          <w:highlight w:val="none"/>
        </w:rPr>
        <w:t>2</w:t>
      </w:r>
      <w:r>
        <w:rPr>
          <w:color w:val="auto"/>
          <w:sz w:val="32"/>
          <w:szCs w:val="32"/>
          <w:highlight w:val="none"/>
        </w:rPr>
        <w:fldChar w:fldCharType="end"/>
      </w:r>
      <w:r>
        <w:rPr>
          <w:color w:val="auto"/>
          <w:sz w:val="32"/>
          <w:szCs w:val="32"/>
          <w:highlight w:val="none"/>
        </w:rPr>
        <w:fldChar w:fldCharType="end"/>
      </w:r>
    </w:p>
    <w:p w14:paraId="3E901CB2">
      <w:pPr>
        <w:pStyle w:val="26"/>
        <w:tabs>
          <w:tab w:val="right" w:leader="dot" w:pos="9412"/>
          <w:tab w:val="clear" w:pos="1050"/>
          <w:tab w:val="clear" w:pos="8937"/>
        </w:tabs>
        <w:rPr>
          <w:color w:val="auto"/>
          <w:sz w:val="32"/>
          <w:szCs w:val="32"/>
          <w:highlight w:val="none"/>
        </w:rPr>
      </w:pPr>
      <w:r>
        <w:rPr>
          <w:color w:val="auto"/>
          <w:highlight w:val="none"/>
        </w:rPr>
        <w:fldChar w:fldCharType="begin"/>
      </w:r>
      <w:r>
        <w:rPr>
          <w:color w:val="auto"/>
          <w:highlight w:val="none"/>
        </w:rPr>
        <w:instrText xml:space="preserve"> HYPERLINK \l "_Toc9029" </w:instrText>
      </w:r>
      <w:r>
        <w:rPr>
          <w:color w:val="auto"/>
          <w:highlight w:val="none"/>
        </w:rPr>
        <w:fldChar w:fldCharType="separate"/>
      </w:r>
      <w:r>
        <w:rPr>
          <w:color w:val="auto"/>
          <w:sz w:val="32"/>
          <w:szCs w:val="44"/>
          <w:highlight w:val="none"/>
        </w:rPr>
        <w:t>第二章   供应商须知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_Toc9029 \h </w:instrText>
      </w:r>
      <w:r>
        <w:rPr>
          <w:color w:val="auto"/>
          <w:sz w:val="32"/>
          <w:szCs w:val="32"/>
          <w:highlight w:val="none"/>
        </w:rPr>
        <w:fldChar w:fldCharType="separate"/>
      </w:r>
      <w:r>
        <w:rPr>
          <w:color w:val="auto"/>
          <w:sz w:val="32"/>
          <w:szCs w:val="32"/>
          <w:highlight w:val="none"/>
        </w:rPr>
        <w:t>6</w:t>
      </w:r>
      <w:r>
        <w:rPr>
          <w:color w:val="auto"/>
          <w:sz w:val="32"/>
          <w:szCs w:val="32"/>
          <w:highlight w:val="none"/>
        </w:rPr>
        <w:fldChar w:fldCharType="end"/>
      </w:r>
      <w:r>
        <w:rPr>
          <w:color w:val="auto"/>
          <w:sz w:val="32"/>
          <w:szCs w:val="32"/>
          <w:highlight w:val="none"/>
        </w:rPr>
        <w:fldChar w:fldCharType="end"/>
      </w:r>
    </w:p>
    <w:p w14:paraId="6BAEB893">
      <w:pPr>
        <w:pStyle w:val="26"/>
        <w:tabs>
          <w:tab w:val="right" w:leader="dot" w:pos="9412"/>
          <w:tab w:val="clear" w:pos="1050"/>
          <w:tab w:val="clear" w:pos="8937"/>
        </w:tabs>
        <w:rPr>
          <w:color w:val="auto"/>
          <w:sz w:val="32"/>
          <w:szCs w:val="32"/>
          <w:highlight w:val="none"/>
        </w:rPr>
      </w:pPr>
      <w:r>
        <w:rPr>
          <w:color w:val="auto"/>
          <w:highlight w:val="none"/>
        </w:rPr>
        <w:fldChar w:fldCharType="begin"/>
      </w:r>
      <w:r>
        <w:rPr>
          <w:color w:val="auto"/>
          <w:highlight w:val="none"/>
        </w:rPr>
        <w:instrText xml:space="preserve"> HYPERLINK \l "_Toc11129" </w:instrText>
      </w:r>
      <w:r>
        <w:rPr>
          <w:color w:val="auto"/>
          <w:highlight w:val="none"/>
        </w:rPr>
        <w:fldChar w:fldCharType="separate"/>
      </w:r>
      <w:r>
        <w:rPr>
          <w:rFonts w:hint="eastAsia"/>
          <w:color w:val="auto"/>
          <w:sz w:val="32"/>
          <w:szCs w:val="44"/>
          <w:highlight w:val="none"/>
        </w:rPr>
        <w:t xml:space="preserve">第三章   </w:t>
      </w:r>
      <w:r>
        <w:rPr>
          <w:color w:val="auto"/>
          <w:sz w:val="32"/>
          <w:szCs w:val="44"/>
          <w:highlight w:val="none"/>
        </w:rPr>
        <w:t>评审</w:t>
      </w:r>
      <w:r>
        <w:rPr>
          <w:rFonts w:hint="eastAsia"/>
          <w:color w:val="auto"/>
          <w:sz w:val="32"/>
          <w:szCs w:val="44"/>
          <w:highlight w:val="none"/>
        </w:rPr>
        <w:t>程序、评审</w:t>
      </w:r>
      <w:r>
        <w:rPr>
          <w:color w:val="auto"/>
          <w:sz w:val="32"/>
          <w:szCs w:val="44"/>
          <w:highlight w:val="none"/>
        </w:rPr>
        <w:t>方法和评审标准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_Toc11129 \h </w:instrText>
      </w:r>
      <w:r>
        <w:rPr>
          <w:color w:val="auto"/>
          <w:sz w:val="32"/>
          <w:szCs w:val="32"/>
          <w:highlight w:val="none"/>
        </w:rPr>
        <w:fldChar w:fldCharType="separate"/>
      </w:r>
      <w:r>
        <w:rPr>
          <w:color w:val="auto"/>
          <w:sz w:val="32"/>
          <w:szCs w:val="32"/>
          <w:highlight w:val="none"/>
        </w:rPr>
        <w:t>20</w:t>
      </w:r>
      <w:r>
        <w:rPr>
          <w:color w:val="auto"/>
          <w:sz w:val="32"/>
          <w:szCs w:val="32"/>
          <w:highlight w:val="none"/>
        </w:rPr>
        <w:fldChar w:fldCharType="end"/>
      </w:r>
      <w:r>
        <w:rPr>
          <w:color w:val="auto"/>
          <w:sz w:val="32"/>
          <w:szCs w:val="32"/>
          <w:highlight w:val="none"/>
        </w:rPr>
        <w:fldChar w:fldCharType="end"/>
      </w:r>
    </w:p>
    <w:p w14:paraId="468DCC33">
      <w:pPr>
        <w:pStyle w:val="26"/>
        <w:tabs>
          <w:tab w:val="right" w:leader="dot" w:pos="9412"/>
          <w:tab w:val="clear" w:pos="1050"/>
          <w:tab w:val="clear" w:pos="8937"/>
        </w:tabs>
        <w:rPr>
          <w:color w:val="auto"/>
          <w:sz w:val="32"/>
          <w:szCs w:val="32"/>
          <w:highlight w:val="none"/>
        </w:rPr>
      </w:pPr>
      <w:r>
        <w:rPr>
          <w:color w:val="auto"/>
          <w:highlight w:val="none"/>
        </w:rPr>
        <w:fldChar w:fldCharType="begin"/>
      </w:r>
      <w:r>
        <w:rPr>
          <w:color w:val="auto"/>
          <w:highlight w:val="none"/>
        </w:rPr>
        <w:instrText xml:space="preserve"> HYPERLINK \l "_Toc28501" </w:instrText>
      </w:r>
      <w:r>
        <w:rPr>
          <w:color w:val="auto"/>
          <w:highlight w:val="none"/>
        </w:rPr>
        <w:fldChar w:fldCharType="separate"/>
      </w:r>
      <w:r>
        <w:rPr>
          <w:rFonts w:hint="eastAsia"/>
          <w:color w:val="auto"/>
          <w:sz w:val="32"/>
          <w:szCs w:val="44"/>
          <w:highlight w:val="none"/>
        </w:rPr>
        <w:t xml:space="preserve">第四章   </w:t>
      </w:r>
      <w:r>
        <w:rPr>
          <w:color w:val="auto"/>
          <w:sz w:val="32"/>
          <w:szCs w:val="44"/>
          <w:highlight w:val="none"/>
        </w:rPr>
        <w:t>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_Toc28501 \h </w:instrText>
      </w:r>
      <w:r>
        <w:rPr>
          <w:color w:val="auto"/>
          <w:sz w:val="32"/>
          <w:szCs w:val="32"/>
          <w:highlight w:val="none"/>
        </w:rPr>
        <w:fldChar w:fldCharType="separate"/>
      </w:r>
      <w:r>
        <w:rPr>
          <w:color w:val="auto"/>
          <w:sz w:val="32"/>
          <w:szCs w:val="32"/>
          <w:highlight w:val="none"/>
        </w:rPr>
        <w:t>32</w:t>
      </w:r>
      <w:r>
        <w:rPr>
          <w:color w:val="auto"/>
          <w:sz w:val="32"/>
          <w:szCs w:val="32"/>
          <w:highlight w:val="none"/>
        </w:rPr>
        <w:fldChar w:fldCharType="end"/>
      </w:r>
      <w:r>
        <w:rPr>
          <w:color w:val="auto"/>
          <w:sz w:val="32"/>
          <w:szCs w:val="32"/>
          <w:highlight w:val="none"/>
        </w:rPr>
        <w:fldChar w:fldCharType="end"/>
      </w:r>
    </w:p>
    <w:p w14:paraId="7868A46E">
      <w:pPr>
        <w:pStyle w:val="26"/>
        <w:tabs>
          <w:tab w:val="right" w:leader="dot" w:pos="9412"/>
          <w:tab w:val="clear" w:pos="1050"/>
          <w:tab w:val="clear" w:pos="8937"/>
        </w:tabs>
        <w:rPr>
          <w:color w:val="auto"/>
          <w:sz w:val="32"/>
          <w:szCs w:val="32"/>
          <w:highlight w:val="none"/>
        </w:rPr>
      </w:pPr>
      <w:r>
        <w:rPr>
          <w:color w:val="auto"/>
          <w:highlight w:val="none"/>
        </w:rPr>
        <w:fldChar w:fldCharType="begin"/>
      </w:r>
      <w:r>
        <w:rPr>
          <w:color w:val="auto"/>
          <w:highlight w:val="none"/>
        </w:rPr>
        <w:instrText xml:space="preserve"> HYPERLINK \l "_Toc28236" </w:instrText>
      </w:r>
      <w:r>
        <w:rPr>
          <w:color w:val="auto"/>
          <w:highlight w:val="none"/>
        </w:rPr>
        <w:fldChar w:fldCharType="separate"/>
      </w:r>
      <w:r>
        <w:rPr>
          <w:color w:val="auto"/>
          <w:sz w:val="32"/>
          <w:szCs w:val="44"/>
          <w:highlight w:val="none"/>
        </w:rPr>
        <w:t>第五章   合同草案条款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_Toc28236 \h </w:instrText>
      </w:r>
      <w:r>
        <w:rPr>
          <w:color w:val="auto"/>
          <w:sz w:val="32"/>
          <w:szCs w:val="32"/>
          <w:highlight w:val="none"/>
        </w:rPr>
        <w:fldChar w:fldCharType="separate"/>
      </w:r>
      <w:r>
        <w:rPr>
          <w:color w:val="auto"/>
          <w:sz w:val="32"/>
          <w:szCs w:val="32"/>
          <w:highlight w:val="none"/>
        </w:rPr>
        <w:t>32</w:t>
      </w:r>
      <w:r>
        <w:rPr>
          <w:color w:val="auto"/>
          <w:sz w:val="32"/>
          <w:szCs w:val="32"/>
          <w:highlight w:val="none"/>
        </w:rPr>
        <w:fldChar w:fldCharType="end"/>
      </w:r>
      <w:r>
        <w:rPr>
          <w:color w:val="auto"/>
          <w:sz w:val="32"/>
          <w:szCs w:val="32"/>
          <w:highlight w:val="none"/>
        </w:rPr>
        <w:fldChar w:fldCharType="end"/>
      </w:r>
    </w:p>
    <w:p w14:paraId="5489C96A">
      <w:pPr>
        <w:pStyle w:val="26"/>
        <w:tabs>
          <w:tab w:val="right" w:leader="dot" w:pos="9412"/>
          <w:tab w:val="clear" w:pos="1050"/>
          <w:tab w:val="clear" w:pos="8937"/>
        </w:tabs>
        <w:rPr>
          <w:color w:val="auto"/>
          <w:sz w:val="32"/>
          <w:szCs w:val="32"/>
          <w:highlight w:val="none"/>
        </w:rPr>
      </w:pPr>
      <w:r>
        <w:rPr>
          <w:color w:val="auto"/>
          <w:highlight w:val="none"/>
        </w:rPr>
        <w:fldChar w:fldCharType="begin"/>
      </w:r>
      <w:r>
        <w:rPr>
          <w:color w:val="auto"/>
          <w:highlight w:val="none"/>
        </w:rPr>
        <w:instrText xml:space="preserve"> HYPERLINK \l "_Toc12791" </w:instrText>
      </w:r>
      <w:r>
        <w:rPr>
          <w:color w:val="auto"/>
          <w:highlight w:val="none"/>
        </w:rPr>
        <w:fldChar w:fldCharType="separate"/>
      </w:r>
      <w:r>
        <w:rPr>
          <w:color w:val="auto"/>
          <w:sz w:val="32"/>
          <w:szCs w:val="44"/>
          <w:highlight w:val="none"/>
        </w:rPr>
        <w:t>第六章   响应文件格式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_Toc12791 \h </w:instrText>
      </w:r>
      <w:r>
        <w:rPr>
          <w:color w:val="auto"/>
          <w:sz w:val="32"/>
          <w:szCs w:val="32"/>
          <w:highlight w:val="none"/>
        </w:rPr>
        <w:fldChar w:fldCharType="separate"/>
      </w:r>
      <w:r>
        <w:rPr>
          <w:color w:val="auto"/>
          <w:sz w:val="32"/>
          <w:szCs w:val="32"/>
          <w:highlight w:val="none"/>
        </w:rPr>
        <w:t>45</w:t>
      </w:r>
      <w:r>
        <w:rPr>
          <w:color w:val="auto"/>
          <w:sz w:val="32"/>
          <w:szCs w:val="32"/>
          <w:highlight w:val="none"/>
        </w:rPr>
        <w:fldChar w:fldCharType="end"/>
      </w:r>
      <w:r>
        <w:rPr>
          <w:color w:val="auto"/>
          <w:sz w:val="32"/>
          <w:szCs w:val="32"/>
          <w:highlight w:val="none"/>
        </w:rPr>
        <w:fldChar w:fldCharType="end"/>
      </w:r>
    </w:p>
    <w:p w14:paraId="6B67609B">
      <w:pPr>
        <w:pStyle w:val="26"/>
        <w:spacing w:line="360" w:lineRule="auto"/>
        <w:rPr>
          <w:rFonts w:ascii="Times New Roman" w:hAnsi="Times New Roman"/>
          <w:b w:val="0"/>
          <w:color w:val="auto"/>
          <w:sz w:val="44"/>
          <w:szCs w:val="44"/>
          <w:highlight w:val="none"/>
        </w:rPr>
      </w:pPr>
      <w:r>
        <w:rPr>
          <w:rFonts w:ascii="Times New Roman" w:hAnsi="Times New Roman"/>
          <w:color w:val="auto"/>
          <w:sz w:val="32"/>
          <w:szCs w:val="44"/>
          <w:highlight w:val="none"/>
        </w:rPr>
        <w:fldChar w:fldCharType="end"/>
      </w:r>
    </w:p>
    <w:p w14:paraId="3A2FC723">
      <w:pPr>
        <w:pStyle w:val="26"/>
        <w:spacing w:line="360" w:lineRule="auto"/>
        <w:rPr>
          <w:b w:val="0"/>
          <w:color w:val="auto"/>
          <w:sz w:val="36"/>
          <w:szCs w:val="36"/>
          <w:highlight w:val="none"/>
        </w:rPr>
      </w:pPr>
    </w:p>
    <w:p w14:paraId="41DAADD2">
      <w:pPr>
        <w:spacing w:line="360" w:lineRule="auto"/>
        <w:jc w:val="center"/>
        <w:outlineLvl w:val="0"/>
        <w:rPr>
          <w:b/>
          <w:color w:val="auto"/>
          <w:sz w:val="36"/>
          <w:szCs w:val="36"/>
          <w:highlight w:val="none"/>
        </w:rPr>
        <w:sectPr>
          <w:footerReference r:id="rId10" w:type="first"/>
          <w:footerReference r:id="rId9" w:type="default"/>
          <w:pgSz w:w="11907" w:h="16838"/>
          <w:pgMar w:top="1417" w:right="1134" w:bottom="1417" w:left="1361" w:header="850" w:footer="850" w:gutter="0"/>
          <w:pgBorders>
            <w:top w:val="none" w:sz="0" w:space="0"/>
            <w:left w:val="none" w:sz="0" w:space="0"/>
            <w:bottom w:val="none" w:sz="0" w:space="0"/>
            <w:right w:val="none" w:sz="0" w:space="0"/>
          </w:pgBorders>
          <w:pgNumType w:start="1"/>
          <w:cols w:space="0" w:num="1"/>
          <w:titlePg/>
          <w:docGrid w:linePitch="360" w:charSpace="0"/>
        </w:sectPr>
      </w:pPr>
    </w:p>
    <w:p w14:paraId="61651DBF">
      <w:pPr>
        <w:spacing w:line="360" w:lineRule="auto"/>
        <w:jc w:val="center"/>
        <w:outlineLvl w:val="0"/>
        <w:rPr>
          <w:b/>
          <w:color w:val="auto"/>
          <w:sz w:val="36"/>
          <w:szCs w:val="36"/>
          <w:highlight w:val="none"/>
        </w:rPr>
      </w:pPr>
      <w:bookmarkStart w:id="4" w:name="_Toc21157"/>
      <w:r>
        <w:rPr>
          <w:b/>
          <w:color w:val="auto"/>
          <w:sz w:val="36"/>
          <w:szCs w:val="36"/>
          <w:highlight w:val="none"/>
        </w:rPr>
        <w:t>第一章   采购邀请</w:t>
      </w:r>
      <w:bookmarkEnd w:id="4"/>
      <w:bookmarkStart w:id="5" w:name="_Toc35393790"/>
      <w:bookmarkStart w:id="6" w:name="_Toc28359079"/>
      <w:bookmarkStart w:id="7" w:name="_Toc28359002"/>
      <w:bookmarkStart w:id="8" w:name="_Toc35393621"/>
      <w:bookmarkStart w:id="9" w:name="_Hlk24379207"/>
    </w:p>
    <w:p w14:paraId="049C5E06">
      <w:pPr>
        <w:spacing w:line="360" w:lineRule="auto"/>
        <w:ind w:firstLine="480"/>
        <w:rPr>
          <w:color w:val="auto"/>
          <w:sz w:val="24"/>
          <w:highlight w:val="none"/>
        </w:rPr>
      </w:pPr>
    </w:p>
    <w:p w14:paraId="310C2B88">
      <w:pPr>
        <w:pStyle w:val="196"/>
        <w:spacing w:before="0" w:line="360" w:lineRule="auto"/>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一、项目基本情况</w:t>
      </w:r>
      <w:bookmarkEnd w:id="5"/>
      <w:bookmarkEnd w:id="6"/>
      <w:bookmarkEnd w:id="7"/>
      <w:bookmarkEnd w:id="8"/>
    </w:p>
    <w:p w14:paraId="43AD7D7C">
      <w:pPr>
        <w:spacing w:line="360" w:lineRule="auto"/>
        <w:ind w:firstLine="480"/>
        <w:rPr>
          <w:rFonts w:hint="default" w:ascii="宋体" w:hAnsi="宋体" w:cs="宋体"/>
          <w:color w:val="auto"/>
          <w:sz w:val="24"/>
          <w:highlight w:val="none"/>
          <w:lang w:val="en-US" w:eastAsia="zh-CN"/>
        </w:rPr>
      </w:pPr>
      <w:r>
        <w:rPr>
          <w:rFonts w:hint="eastAsia" w:ascii="宋体" w:hAnsi="宋体" w:eastAsia="宋体" w:cs="宋体"/>
          <w:color w:val="auto"/>
          <w:sz w:val="24"/>
          <w:highlight w:val="none"/>
        </w:rPr>
        <w:t>1.项目编号：</w:t>
      </w:r>
      <w:r>
        <w:rPr>
          <w:rFonts w:hint="eastAsia" w:ascii="宋体" w:hAnsi="宋体" w:cs="宋体"/>
          <w:color w:val="auto"/>
          <w:sz w:val="24"/>
          <w:highlight w:val="none"/>
          <w:lang w:eastAsia="zh-CN"/>
        </w:rPr>
        <w:t>JSZC-320404-YTZB-C2025-0123</w:t>
      </w:r>
    </w:p>
    <w:p w14:paraId="51D9E869">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2.项目名称：</w:t>
      </w:r>
      <w:bookmarkStart w:id="10" w:name="_Hlk139273959"/>
      <w:r>
        <w:rPr>
          <w:rFonts w:hint="eastAsia" w:ascii="宋体" w:hAnsi="宋体" w:cs="宋体"/>
          <w:color w:val="auto"/>
          <w:sz w:val="24"/>
          <w:highlight w:val="none"/>
          <w:lang w:eastAsia="zh-CN"/>
        </w:rPr>
        <w:t>钟楼区区域卫生信息化运维服务</w:t>
      </w:r>
    </w:p>
    <w:bookmarkEnd w:id="10"/>
    <w:p w14:paraId="4983CCB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3.采购方式：竞争性磋商</w:t>
      </w:r>
    </w:p>
    <w:bookmarkEnd w:id="9"/>
    <w:p w14:paraId="6C9886B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4.项目预算金额：人民币</w:t>
      </w:r>
      <w:r>
        <w:rPr>
          <w:rFonts w:hint="eastAsia" w:ascii="宋体" w:hAnsi="宋体" w:cs="宋体"/>
          <w:color w:val="auto"/>
          <w:sz w:val="24"/>
          <w:highlight w:val="none"/>
          <w:lang w:val="en-US" w:eastAsia="zh-CN"/>
        </w:rPr>
        <w:t>161.78</w:t>
      </w:r>
      <w:r>
        <w:rPr>
          <w:rFonts w:hint="eastAsia" w:ascii="宋体" w:hAnsi="宋体" w:eastAsia="宋体" w:cs="宋体"/>
          <w:color w:val="auto"/>
          <w:sz w:val="24"/>
          <w:highlight w:val="none"/>
        </w:rPr>
        <w:t>万元</w:t>
      </w:r>
    </w:p>
    <w:p w14:paraId="2CB7114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项目最高限价（控制价）：</w:t>
      </w:r>
      <w:bookmarkStart w:id="11" w:name="_Hlk181913322"/>
      <w:r>
        <w:rPr>
          <w:rFonts w:hint="eastAsia" w:ascii="宋体" w:hAnsi="宋体" w:eastAsia="宋体" w:cs="宋体"/>
          <w:color w:val="auto"/>
          <w:sz w:val="24"/>
          <w:highlight w:val="none"/>
        </w:rPr>
        <w:t>人民币</w:t>
      </w:r>
      <w:r>
        <w:rPr>
          <w:rFonts w:hint="eastAsia" w:ascii="宋体" w:hAnsi="宋体" w:cs="宋体"/>
          <w:color w:val="auto"/>
          <w:sz w:val="24"/>
          <w:highlight w:val="none"/>
          <w:lang w:val="en-US" w:eastAsia="zh-CN"/>
        </w:rPr>
        <w:t>161.78</w:t>
      </w:r>
      <w:r>
        <w:rPr>
          <w:rFonts w:hint="eastAsia" w:ascii="宋体" w:hAnsi="宋体" w:eastAsia="宋体" w:cs="宋体"/>
          <w:color w:val="auto"/>
          <w:sz w:val="24"/>
          <w:highlight w:val="none"/>
        </w:rPr>
        <w:t>万元</w:t>
      </w:r>
    </w:p>
    <w:bookmarkEnd w:id="11"/>
    <w:p w14:paraId="56791371">
      <w:pPr>
        <w:spacing w:line="360" w:lineRule="auto"/>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5.采购需求：</w:t>
      </w:r>
      <w:r>
        <w:rPr>
          <w:rFonts w:hint="eastAsia" w:ascii="宋体" w:hAnsi="宋体" w:cs="宋体"/>
          <w:color w:val="auto"/>
          <w:sz w:val="24"/>
          <w:highlight w:val="none"/>
          <w:lang w:eastAsia="zh-CN"/>
        </w:rPr>
        <w:t>本项目为钟楼区区域卫生信息化运维服务，提供钟楼区区域卫生信息化项目运维，涵盖全区所有公办医疗卫生机构，内容包括但不限于信息系统运维服务、网信数据安全服务、云资源服务及业务需求服务等。具体内容详见磋商文件第四章采购需求。</w:t>
      </w:r>
    </w:p>
    <w:p w14:paraId="51291B8C">
      <w:pPr>
        <w:spacing w:line="360" w:lineRule="auto"/>
        <w:ind w:firstLine="480"/>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6.合同履行期限</w:t>
      </w:r>
      <w:r>
        <w:rPr>
          <w:rFonts w:hint="eastAsia" w:ascii="宋体" w:hAnsi="宋体" w:cs="宋体"/>
          <w:color w:val="auto"/>
          <w:sz w:val="24"/>
          <w:highlight w:val="none"/>
          <w:lang w:eastAsia="zh-CN"/>
        </w:rPr>
        <w:t>：自2026年1月1日起至2026年12月31日止。</w:t>
      </w:r>
    </w:p>
    <w:p w14:paraId="7612852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7.本项目是否接受联合体：□是 ■否。</w:t>
      </w:r>
    </w:p>
    <w:p w14:paraId="6F3181F6">
      <w:pPr>
        <w:spacing w:line="360" w:lineRule="auto"/>
        <w:ind w:firstLine="480"/>
        <w:rPr>
          <w:rFonts w:hint="eastAsia" w:ascii="宋体" w:hAnsi="宋体" w:eastAsia="宋体" w:cs="宋体"/>
          <w:color w:val="auto"/>
          <w:sz w:val="24"/>
          <w:highlight w:val="none"/>
        </w:rPr>
      </w:pPr>
      <w:bookmarkStart w:id="12" w:name="_Toc35393622"/>
      <w:bookmarkStart w:id="13" w:name="_Toc28359003"/>
      <w:bookmarkStart w:id="14" w:name="_Toc35393791"/>
      <w:bookmarkStart w:id="15" w:name="_Toc28359080"/>
      <w:r>
        <w:rPr>
          <w:rFonts w:hint="eastAsia" w:ascii="宋体" w:hAnsi="宋体" w:eastAsia="宋体" w:cs="宋体"/>
          <w:color w:val="auto"/>
          <w:sz w:val="24"/>
          <w:highlight w:val="none"/>
        </w:rPr>
        <w:t>8.本项目是否接受进口产品响应：□是  ■否。</w:t>
      </w:r>
    </w:p>
    <w:p w14:paraId="08580CE3">
      <w:pPr>
        <w:pStyle w:val="196"/>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二、申请人的资格要求（须同时满足）</w:t>
      </w:r>
      <w:bookmarkEnd w:id="12"/>
      <w:bookmarkEnd w:id="13"/>
      <w:bookmarkEnd w:id="14"/>
      <w:bookmarkEnd w:id="15"/>
    </w:p>
    <w:p w14:paraId="257C34D5">
      <w:pPr>
        <w:spacing w:line="360" w:lineRule="auto"/>
        <w:ind w:firstLine="480"/>
        <w:rPr>
          <w:rFonts w:hint="eastAsia" w:ascii="宋体" w:hAnsi="宋体" w:eastAsia="宋体" w:cs="宋体"/>
          <w:color w:val="auto"/>
          <w:sz w:val="24"/>
          <w:highlight w:val="none"/>
        </w:rPr>
      </w:pPr>
      <w:bookmarkStart w:id="16" w:name="_Toc28359081"/>
      <w:bookmarkStart w:id="17" w:name="_Toc28359004"/>
      <w:r>
        <w:rPr>
          <w:rFonts w:hint="eastAsia" w:ascii="宋体" w:hAnsi="宋体" w:eastAsia="宋体" w:cs="宋体"/>
          <w:color w:val="auto"/>
          <w:sz w:val="24"/>
          <w:highlight w:val="none"/>
        </w:rPr>
        <w:t>1.满足《中华人民共和国政府采购法》第二十二条规定以及下列情形：</w:t>
      </w:r>
    </w:p>
    <w:p w14:paraId="0DAF49D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1.1未被“信用中国”网站（WWW.creditchina.gov.cn）或“中国政府采购网”网站（www.ccgp.gov.cn）列入失信被执行人、重大税收违法案件当事人名单、政府采购严重失信行为记录名单；</w:t>
      </w:r>
    </w:p>
    <w:p w14:paraId="126EDDD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493DB8A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2.落实政府采购政策需满足的资格要求：</w:t>
      </w:r>
    </w:p>
    <w:p w14:paraId="6407AFF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 中小企业政策</w:t>
      </w:r>
    </w:p>
    <w:p w14:paraId="429907E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□本项目不专门面向中小企业预留采购份额。</w:t>
      </w:r>
    </w:p>
    <w:p w14:paraId="3B2A0F0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■本项目专门面向 ■中小□小微企业  采购。即：提供的</w:t>
      </w:r>
      <w:r>
        <w:rPr>
          <w:rFonts w:hint="eastAsia" w:ascii="宋体" w:hAnsi="宋体" w:cs="宋体"/>
          <w:color w:val="auto"/>
          <w:sz w:val="24"/>
          <w:highlight w:val="none"/>
          <w:lang w:eastAsia="zh-CN"/>
        </w:rPr>
        <w:t>服务</w:t>
      </w:r>
      <w:r>
        <w:rPr>
          <w:rFonts w:hint="eastAsia" w:ascii="宋体" w:hAnsi="宋体" w:eastAsia="宋体" w:cs="宋体"/>
          <w:color w:val="auto"/>
          <w:sz w:val="24"/>
          <w:highlight w:val="none"/>
        </w:rPr>
        <w:t>全部由符合政策要求的中小企业承接。</w:t>
      </w:r>
    </w:p>
    <w:p w14:paraId="46D9B26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lang w:val="en-US" w:eastAsia="zh-CN"/>
        </w:rPr>
        <w:t xml:space="preserve">  /  </w:t>
      </w:r>
      <w:r>
        <w:rPr>
          <w:rFonts w:hint="eastAsia" w:ascii="宋体" w:hAnsi="宋体" w:eastAsia="宋体" w:cs="宋体"/>
          <w:color w:val="auto"/>
          <w:sz w:val="24"/>
          <w:highlight w:val="none"/>
        </w:rPr>
        <w:t>。</w:t>
      </w:r>
    </w:p>
    <w:p w14:paraId="3F92829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 其它落实政府采购政策的资格要求（如有）：</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w:t>
      </w:r>
    </w:p>
    <w:p w14:paraId="6F6A1423">
      <w:pPr>
        <w:spacing w:line="360" w:lineRule="auto"/>
        <w:ind w:firstLine="480"/>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rPr>
        <w:t>3.本项目的特定资格要求：</w:t>
      </w:r>
    </w:p>
    <w:p w14:paraId="7BBA66F5">
      <w:pPr>
        <w:tabs>
          <w:tab w:val="left" w:pos="900"/>
          <w:tab w:val="left" w:pos="1134"/>
          <w:tab w:val="left" w:pos="1589"/>
          <w:tab w:val="left" w:pos="5521"/>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3.1本项目是否接受分支机构参与响应： </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是   ■否；</w:t>
      </w:r>
    </w:p>
    <w:p w14:paraId="3E60D199">
      <w:pPr>
        <w:tabs>
          <w:tab w:val="left" w:pos="900"/>
          <w:tab w:val="left" w:pos="1134"/>
          <w:tab w:val="left" w:pos="1589"/>
          <w:tab w:val="left" w:pos="5521"/>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 本项目是否属于政府购买服务：</w:t>
      </w:r>
    </w:p>
    <w:p w14:paraId="4A85200C">
      <w:pPr>
        <w:tabs>
          <w:tab w:val="left" w:pos="900"/>
          <w:tab w:val="left" w:pos="1134"/>
          <w:tab w:val="left" w:pos="1589"/>
          <w:tab w:val="left" w:pos="5521"/>
        </w:tabs>
        <w:spacing w:line="360" w:lineRule="auto"/>
        <w:ind w:left="991" w:firstLine="2"/>
        <w:rPr>
          <w:rFonts w:hint="eastAsia" w:ascii="宋体" w:hAnsi="宋体" w:eastAsia="宋体" w:cs="宋体"/>
          <w:color w:val="auto"/>
          <w:sz w:val="24"/>
          <w:highlight w:val="none"/>
        </w:rPr>
      </w:pPr>
      <w:r>
        <w:rPr>
          <w:rFonts w:hint="eastAsia" w:ascii="宋体" w:hAnsi="宋体" w:eastAsia="宋体" w:cs="宋体"/>
          <w:color w:val="auto"/>
          <w:sz w:val="24"/>
          <w:highlight w:val="none"/>
        </w:rPr>
        <w:t>□否</w:t>
      </w:r>
    </w:p>
    <w:p w14:paraId="67E0066F">
      <w:pPr>
        <w:tabs>
          <w:tab w:val="left" w:pos="900"/>
          <w:tab w:val="left" w:pos="1134"/>
          <w:tab w:val="left" w:pos="1589"/>
          <w:tab w:val="left" w:pos="5521"/>
        </w:tabs>
        <w:spacing w:line="360" w:lineRule="auto"/>
        <w:ind w:left="991" w:firstLine="2"/>
        <w:rPr>
          <w:rFonts w:hint="eastAsia" w:ascii="宋体" w:hAnsi="宋体" w:eastAsia="宋体" w:cs="宋体"/>
          <w:color w:val="auto"/>
          <w:sz w:val="24"/>
          <w:highlight w:val="none"/>
        </w:rPr>
      </w:pPr>
      <w:r>
        <w:rPr>
          <w:rFonts w:hint="eastAsia" w:ascii="宋体" w:hAnsi="宋体" w:eastAsia="宋体" w:cs="宋体"/>
          <w:color w:val="auto"/>
          <w:sz w:val="24"/>
          <w:highlight w:val="none"/>
        </w:rPr>
        <w:t>■是，公益一类事业单位、使用事业编制且由财政拨款保障的群团组织，不得作为承接主体；</w:t>
      </w:r>
    </w:p>
    <w:p w14:paraId="77A58706">
      <w:pPr>
        <w:tabs>
          <w:tab w:val="left" w:pos="900"/>
          <w:tab w:val="left" w:pos="1134"/>
          <w:tab w:val="left" w:pos="1589"/>
          <w:tab w:val="left" w:pos="5521"/>
        </w:tabs>
        <w:spacing w:line="360" w:lineRule="auto"/>
        <w:ind w:firstLine="480"/>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3.3其他特定资格要求：</w:t>
      </w:r>
      <w:r>
        <w:rPr>
          <w:rFonts w:hint="eastAsia" w:ascii="宋体" w:hAnsi="宋体" w:cs="宋体"/>
          <w:b/>
          <w:bCs/>
          <w:color w:val="auto"/>
          <w:sz w:val="24"/>
          <w:highlight w:val="none"/>
          <w:lang w:eastAsia="zh-CN"/>
        </w:rPr>
        <w:t>无。</w:t>
      </w:r>
    </w:p>
    <w:bookmarkEnd w:id="16"/>
    <w:bookmarkEnd w:id="17"/>
    <w:p w14:paraId="5C6DB3AC">
      <w:pPr>
        <w:pStyle w:val="196"/>
        <w:widowControl/>
        <w:spacing w:before="0" w:line="360" w:lineRule="auto"/>
        <w:jc w:val="left"/>
        <w:rPr>
          <w:rFonts w:hint="default" w:ascii="宋体" w:hAnsi="宋体" w:eastAsia="宋体" w:cs="宋体"/>
          <w:color w:val="auto"/>
          <w:sz w:val="24"/>
          <w:szCs w:val="24"/>
          <w:highlight w:val="none"/>
          <w:lang w:val="en-US" w:eastAsia="zh-CN"/>
        </w:rPr>
      </w:pPr>
      <w:bookmarkStart w:id="18" w:name="_Toc35393792"/>
      <w:bookmarkStart w:id="19" w:name="_Toc35393623"/>
      <w:r>
        <w:rPr>
          <w:rFonts w:hint="eastAsia" w:ascii="宋体" w:hAnsi="宋体" w:eastAsia="宋体" w:cs="宋体"/>
          <w:color w:val="auto"/>
          <w:sz w:val="24"/>
          <w:szCs w:val="24"/>
          <w:highlight w:val="none"/>
        </w:rPr>
        <w:t>三、获取采购文件</w:t>
      </w:r>
      <w:bookmarkEnd w:id="18"/>
      <w:bookmarkEnd w:id="19"/>
    </w:p>
    <w:p w14:paraId="25BE2D8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1.时间：自公告发布之日起至2025年</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22</w:t>
      </w:r>
      <w:r>
        <w:rPr>
          <w:rFonts w:hint="eastAsia" w:ascii="宋体" w:hAnsi="宋体" w:eastAsia="宋体" w:cs="宋体"/>
          <w:color w:val="auto"/>
          <w:sz w:val="24"/>
          <w:highlight w:val="none"/>
        </w:rPr>
        <w:t>日23：59，每天上午00:00-12:00,下午12:00-00:00 （北京时间，法定节假日除外）。</w:t>
      </w:r>
    </w:p>
    <w:p w14:paraId="21C414D9">
      <w:pPr>
        <w:spacing w:line="360" w:lineRule="auto"/>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2.地点：“苏采云”政府采购一体化平台。</w:t>
      </w:r>
    </w:p>
    <w:p w14:paraId="051EC38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3.方式：供应商登</w:t>
      </w:r>
      <w:r>
        <w:rPr>
          <w:rFonts w:hint="eastAsia" w:ascii="宋体" w:hAnsi="宋体" w:eastAsia="宋体" w:cs="宋体"/>
          <w:color w:val="auto"/>
          <w:sz w:val="24"/>
          <w:highlight w:val="none"/>
          <w:u w:val="none"/>
        </w:rPr>
        <w:t>录</w:t>
      </w:r>
      <w:r>
        <w:rPr>
          <w:rFonts w:hint="eastAsia" w:ascii="宋体" w:hAnsi="宋体" w:eastAsia="宋体" w:cs="宋体"/>
          <w:color w:val="auto"/>
          <w:sz w:val="24"/>
          <w:highlight w:val="none"/>
        </w:rPr>
        <w:t>“江苏政府采购网”，在网站首页点击“苏采云”→使用CA锁登录系统（新用户需进行“平台用户注册”）→“项目参与”进行登记，在“可参与项目”中选择“我要参与”，参与成功后到“已参与项目”界面中找到该项目下载文件并进行操作。</w:t>
      </w:r>
    </w:p>
    <w:p w14:paraId="61C66F44">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4.售价：0元。</w:t>
      </w:r>
    </w:p>
    <w:p w14:paraId="244296A1">
      <w:pPr>
        <w:pStyle w:val="196"/>
        <w:widowControl/>
        <w:spacing w:before="0" w:line="360" w:lineRule="auto"/>
        <w:jc w:val="left"/>
        <w:rPr>
          <w:rFonts w:hint="eastAsia" w:ascii="宋体" w:hAnsi="宋体" w:eastAsia="宋体" w:cs="宋体"/>
          <w:color w:val="auto"/>
          <w:sz w:val="24"/>
          <w:szCs w:val="24"/>
          <w:highlight w:val="none"/>
        </w:rPr>
      </w:pPr>
      <w:bookmarkStart w:id="20" w:name="_Toc28359082"/>
      <w:bookmarkStart w:id="21" w:name="_Toc28359005"/>
      <w:bookmarkStart w:id="22" w:name="_Toc35393624"/>
      <w:bookmarkStart w:id="23" w:name="_Toc35393793"/>
      <w:r>
        <w:rPr>
          <w:rFonts w:hint="eastAsia" w:ascii="宋体" w:hAnsi="宋体" w:eastAsia="宋体" w:cs="宋体"/>
          <w:color w:val="auto"/>
          <w:sz w:val="24"/>
          <w:szCs w:val="24"/>
          <w:highlight w:val="none"/>
        </w:rPr>
        <w:t>四、</w:t>
      </w:r>
      <w:bookmarkEnd w:id="20"/>
      <w:bookmarkEnd w:id="21"/>
      <w:bookmarkEnd w:id="22"/>
      <w:bookmarkEnd w:id="23"/>
      <w:r>
        <w:rPr>
          <w:rFonts w:hint="eastAsia" w:ascii="宋体" w:hAnsi="宋体" w:eastAsia="宋体" w:cs="宋体"/>
          <w:color w:val="auto"/>
          <w:sz w:val="24"/>
          <w:szCs w:val="24"/>
          <w:highlight w:val="none"/>
        </w:rPr>
        <w:t>响应文件提交</w:t>
      </w:r>
    </w:p>
    <w:p w14:paraId="636AE9ED">
      <w:pPr>
        <w:spacing w:line="360" w:lineRule="auto"/>
        <w:ind w:firstLine="48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截止时间：2025年</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26</w:t>
      </w:r>
      <w:r>
        <w:rPr>
          <w:rFonts w:hint="eastAsia" w:ascii="宋体" w:hAnsi="宋体" w:eastAsia="宋体" w:cs="宋体"/>
          <w:color w:val="auto"/>
          <w:sz w:val="24"/>
          <w:highlight w:val="none"/>
        </w:rPr>
        <w:t>日</w:t>
      </w:r>
      <w:r>
        <w:rPr>
          <w:rFonts w:hint="eastAsia" w:ascii="宋体" w:hAnsi="宋体" w:cs="宋体"/>
          <w:color w:val="auto"/>
          <w:sz w:val="24"/>
          <w:highlight w:val="none"/>
          <w:lang w:val="en-US" w:eastAsia="zh-CN"/>
        </w:rPr>
        <w:t>09</w:t>
      </w:r>
      <w:r>
        <w:rPr>
          <w:rFonts w:hint="eastAsia" w:ascii="宋体" w:hAnsi="宋体" w:eastAsia="宋体" w:cs="宋体"/>
          <w:color w:val="auto"/>
          <w:sz w:val="24"/>
          <w:highlight w:val="none"/>
        </w:rPr>
        <w:t>点</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0分</w:t>
      </w:r>
      <w:r>
        <w:rPr>
          <w:rFonts w:hint="eastAsia" w:ascii="宋体" w:hAnsi="宋体" w:eastAsia="宋体" w:cs="宋体"/>
          <w:bCs/>
          <w:color w:val="auto"/>
          <w:sz w:val="24"/>
          <w:highlight w:val="none"/>
        </w:rPr>
        <w:t>（北京时间）</w:t>
      </w:r>
      <w:r>
        <w:rPr>
          <w:rFonts w:hint="eastAsia" w:ascii="宋体" w:hAnsi="宋体" w:eastAsia="宋体" w:cs="宋体"/>
          <w:iCs/>
          <w:color w:val="auto"/>
          <w:sz w:val="24"/>
          <w:highlight w:val="none"/>
        </w:rPr>
        <w:t>。</w:t>
      </w:r>
    </w:p>
    <w:p w14:paraId="02C5CE23">
      <w:pPr>
        <w:spacing w:line="360" w:lineRule="auto"/>
        <w:ind w:firstLine="480"/>
        <w:rPr>
          <w:rFonts w:hint="eastAsia" w:ascii="宋体" w:hAnsi="宋体" w:eastAsia="宋体" w:cs="宋体"/>
          <w:color w:val="auto"/>
          <w:sz w:val="24"/>
          <w:highlight w:val="none"/>
          <w:lang w:val="zh-TW"/>
        </w:rPr>
      </w:pPr>
      <w:r>
        <w:rPr>
          <w:rFonts w:hint="eastAsia" w:ascii="宋体" w:hAnsi="宋体" w:eastAsia="宋体" w:cs="宋体"/>
          <w:color w:val="auto"/>
          <w:sz w:val="24"/>
          <w:highlight w:val="none"/>
        </w:rPr>
        <w:t>地点：本项目采用远程“不见面”交易方式，无需到现场提交，请供应商在提交时间截止前提前登入“苏采云”政府采购一体化平台通过系统在线提交电子磋商响应文件。</w:t>
      </w:r>
    </w:p>
    <w:p w14:paraId="1F5D3B45">
      <w:pPr>
        <w:pStyle w:val="196"/>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五、开启</w:t>
      </w:r>
    </w:p>
    <w:p w14:paraId="01842F96">
      <w:pPr>
        <w:spacing w:line="360" w:lineRule="auto"/>
        <w:ind w:firstLine="48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时间：2025年</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26</w:t>
      </w:r>
      <w:r>
        <w:rPr>
          <w:rFonts w:hint="eastAsia" w:ascii="宋体" w:hAnsi="宋体" w:eastAsia="宋体" w:cs="宋体"/>
          <w:color w:val="auto"/>
          <w:sz w:val="24"/>
          <w:highlight w:val="none"/>
        </w:rPr>
        <w:t>日</w:t>
      </w:r>
      <w:r>
        <w:rPr>
          <w:rFonts w:hint="eastAsia" w:ascii="宋体" w:hAnsi="宋体" w:cs="宋体"/>
          <w:color w:val="auto"/>
          <w:sz w:val="24"/>
          <w:highlight w:val="none"/>
          <w:lang w:val="en-US" w:eastAsia="zh-CN"/>
        </w:rPr>
        <w:t>09</w:t>
      </w:r>
      <w:r>
        <w:rPr>
          <w:rFonts w:hint="eastAsia" w:ascii="宋体" w:hAnsi="宋体" w:eastAsia="宋体" w:cs="宋体"/>
          <w:color w:val="auto"/>
          <w:sz w:val="24"/>
          <w:highlight w:val="none"/>
        </w:rPr>
        <w:t>点</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0分</w:t>
      </w:r>
      <w:r>
        <w:rPr>
          <w:rFonts w:hint="eastAsia" w:ascii="宋体" w:hAnsi="宋体" w:eastAsia="宋体" w:cs="宋体"/>
          <w:bCs/>
          <w:color w:val="auto"/>
          <w:sz w:val="24"/>
          <w:highlight w:val="none"/>
        </w:rPr>
        <w:t>（北京时间）</w:t>
      </w:r>
      <w:r>
        <w:rPr>
          <w:rFonts w:hint="eastAsia" w:ascii="宋体" w:hAnsi="宋体" w:eastAsia="宋体" w:cs="宋体"/>
          <w:iCs/>
          <w:color w:val="auto"/>
          <w:sz w:val="24"/>
          <w:highlight w:val="none"/>
        </w:rPr>
        <w:t>。</w:t>
      </w:r>
    </w:p>
    <w:p w14:paraId="5FD63A0B">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color w:val="auto"/>
          <w:sz w:val="24"/>
          <w:highlight w:val="none"/>
        </w:rPr>
        <w:t>地点：本项目采用远程“不见面”交易方式，无需到现场提交，请供应商在开启时间截止前提前登入“苏采云”政府采购一体化平台，供应商自行选择互联网连接畅通的场地，在规定的时间内进行解密开启（系统语音提示允许解密后，供应商30分钟内完成解密，否则视为该供应商自动放弃该项目的响应，其响应文件采购人不予受理）。</w:t>
      </w:r>
    </w:p>
    <w:p w14:paraId="659A5666">
      <w:pPr>
        <w:pStyle w:val="196"/>
        <w:spacing w:before="0" w:line="360" w:lineRule="auto"/>
        <w:jc w:val="left"/>
        <w:rPr>
          <w:rFonts w:hint="eastAsia" w:ascii="宋体" w:hAnsi="宋体" w:eastAsia="宋体" w:cs="宋体"/>
          <w:color w:val="auto"/>
          <w:sz w:val="24"/>
          <w:szCs w:val="24"/>
          <w:highlight w:val="none"/>
        </w:rPr>
      </w:pPr>
      <w:bookmarkStart w:id="24" w:name="_Toc35393794"/>
      <w:bookmarkStart w:id="25" w:name="_Toc35393625"/>
      <w:bookmarkStart w:id="26" w:name="_Toc28359084"/>
      <w:bookmarkStart w:id="27" w:name="_Toc28359007"/>
      <w:r>
        <w:rPr>
          <w:rFonts w:hint="eastAsia" w:ascii="宋体" w:hAnsi="宋体" w:eastAsia="宋体" w:cs="宋体"/>
          <w:color w:val="auto"/>
          <w:sz w:val="24"/>
          <w:szCs w:val="24"/>
          <w:highlight w:val="none"/>
        </w:rPr>
        <w:t>六、公告期限</w:t>
      </w:r>
      <w:bookmarkEnd w:id="24"/>
      <w:bookmarkEnd w:id="25"/>
      <w:bookmarkEnd w:id="26"/>
      <w:bookmarkEnd w:id="27"/>
    </w:p>
    <w:p w14:paraId="78E3128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自本公告发布之日起3个工作日。</w:t>
      </w:r>
    </w:p>
    <w:p w14:paraId="2B2A6BD7">
      <w:pPr>
        <w:pStyle w:val="196"/>
        <w:spacing w:before="0" w:line="360" w:lineRule="auto"/>
        <w:jc w:val="left"/>
        <w:rPr>
          <w:rFonts w:hint="eastAsia" w:ascii="宋体" w:hAnsi="宋体" w:eastAsia="宋体" w:cs="宋体"/>
          <w:color w:val="auto"/>
          <w:sz w:val="24"/>
          <w:szCs w:val="24"/>
          <w:highlight w:val="none"/>
        </w:rPr>
      </w:pPr>
      <w:bookmarkStart w:id="28" w:name="_Toc35393795"/>
      <w:bookmarkStart w:id="29" w:name="_Toc35393626"/>
      <w:r>
        <w:rPr>
          <w:rFonts w:hint="eastAsia" w:ascii="宋体" w:hAnsi="宋体" w:eastAsia="宋体" w:cs="宋体"/>
          <w:color w:val="auto"/>
          <w:sz w:val="24"/>
          <w:szCs w:val="24"/>
          <w:highlight w:val="none"/>
        </w:rPr>
        <w:t>七、其他补充事宜</w:t>
      </w:r>
      <w:bookmarkEnd w:id="28"/>
      <w:bookmarkEnd w:id="29"/>
    </w:p>
    <w:p w14:paraId="42CE361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1.本项目需要落实的政府采购政策：无。</w:t>
      </w:r>
    </w:p>
    <w:p w14:paraId="3CED6AC3">
      <w:pPr>
        <w:widowControl/>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根据省财政厅《关于更换全省政府采购交易系统CA数字证书和电子签章的通知》（苏财购〔2023〕101号），“苏采云”政府采购一体化平台系统（以下简称苏采云系统）的CA数字证书、电子签章已更换为江苏省电子政务证书认证中心CA和方正国际软件（北京）有限公司电子签章。如果供应商通过“苏采云”平台系统参与政府采购项目，需要更换CA数字证书和电子签章。</w:t>
      </w:r>
    </w:p>
    <w:p w14:paraId="61DF29EE">
      <w:pPr>
        <w:widowControl/>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147E5D89">
      <w:pPr>
        <w:widowControl/>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rPr>
        <w:t>4.本项目采用全流程电子化采购方式，请供应商认真学习“苏采云”政府采购一体化平台发布的相关操作手册，办理CA认证证书、进行“苏采云”政府采购一体化平台注册绑定，并认真核实</w:t>
      </w:r>
      <w:r>
        <w:rPr>
          <w:rFonts w:hint="eastAsia" w:ascii="宋体" w:hAnsi="宋体" w:eastAsia="宋体" w:cs="宋体"/>
          <w:bCs/>
          <w:color w:val="auto"/>
          <w:sz w:val="24"/>
          <w:highlight w:val="none"/>
        </w:rPr>
        <w:t>数字认证证书情况确认是否符合本项目电子化采购流程要求。</w:t>
      </w:r>
    </w:p>
    <w:p w14:paraId="3519E89C">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技术支持服务热线    0519-85588210  0519-85588163</w:t>
      </w:r>
    </w:p>
    <w:p w14:paraId="7439BFD2">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CA认证证书办理（可邮寄）联系电话   0519-85588120</w:t>
      </w:r>
    </w:p>
    <w:p w14:paraId="5FBA6A47">
      <w:pPr>
        <w:spacing w:line="360" w:lineRule="auto"/>
        <w:ind w:firstLine="480" w:firstLineChars="200"/>
        <w:rPr>
          <w:rFonts w:hint="eastAsia" w:ascii="宋体" w:hAnsi="宋体" w:eastAsia="宋体" w:cs="宋体"/>
          <w:color w:val="auto"/>
          <w:sz w:val="24"/>
          <w:highlight w:val="none"/>
          <w:lang w:val="zh-TW"/>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zh-TW"/>
        </w:rPr>
        <w:t>.关于常州市中小企业政府采购信用融资：</w:t>
      </w:r>
    </w:p>
    <w:p w14:paraId="74B0BAF0">
      <w:pPr>
        <w:spacing w:line="360" w:lineRule="auto"/>
        <w:ind w:firstLine="480" w:firstLineChars="200"/>
        <w:rPr>
          <w:rFonts w:hint="eastAsia" w:ascii="宋体" w:hAnsi="宋体" w:eastAsia="宋体" w:cs="宋体"/>
          <w:color w:val="auto"/>
          <w:sz w:val="24"/>
          <w:highlight w:val="none"/>
          <w:lang w:val="zh-TW"/>
        </w:rPr>
      </w:pPr>
      <w:r>
        <w:rPr>
          <w:rFonts w:hint="eastAsia" w:ascii="宋体" w:hAnsi="宋体" w:eastAsia="宋体" w:cs="宋体"/>
          <w:color w:val="auto"/>
          <w:sz w:val="24"/>
          <w:highlight w:val="none"/>
          <w:lang w:val="zh-TW"/>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4F430149">
      <w:pPr>
        <w:pStyle w:val="196"/>
        <w:spacing w:before="0" w:line="360" w:lineRule="auto"/>
        <w:jc w:val="left"/>
        <w:rPr>
          <w:rFonts w:hint="eastAsia" w:ascii="宋体" w:hAnsi="宋体" w:eastAsia="宋体" w:cs="宋体"/>
          <w:color w:val="auto"/>
          <w:sz w:val="24"/>
          <w:szCs w:val="24"/>
          <w:highlight w:val="none"/>
        </w:rPr>
      </w:pPr>
      <w:bookmarkStart w:id="30" w:name="_Toc28359008"/>
      <w:bookmarkStart w:id="31" w:name="_Toc35393796"/>
      <w:bookmarkStart w:id="32" w:name="_Toc35393627"/>
      <w:bookmarkStart w:id="33" w:name="_Toc28359085"/>
      <w:r>
        <w:rPr>
          <w:rFonts w:hint="eastAsia" w:ascii="宋体" w:hAnsi="宋体" w:eastAsia="宋体" w:cs="宋体"/>
          <w:color w:val="auto"/>
          <w:sz w:val="24"/>
          <w:szCs w:val="24"/>
          <w:highlight w:val="none"/>
        </w:rPr>
        <w:t>八、对本项目提出询问，请按以下方式联系。</w:t>
      </w:r>
      <w:bookmarkEnd w:id="30"/>
      <w:bookmarkEnd w:id="31"/>
      <w:bookmarkEnd w:id="32"/>
      <w:bookmarkEnd w:id="33"/>
    </w:p>
    <w:p w14:paraId="4F65BC85">
      <w:pPr>
        <w:spacing w:line="360" w:lineRule="auto"/>
        <w:ind w:left="854" w:hanging="434"/>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1.采购人信息</w:t>
      </w:r>
    </w:p>
    <w:p w14:paraId="66BE73E6">
      <w:pPr>
        <w:spacing w:line="360" w:lineRule="auto"/>
        <w:ind w:left="852" w:hanging="432"/>
        <w:jc w:val="left"/>
        <w:rPr>
          <w:rFonts w:hint="eastAsia" w:ascii="宋体" w:hAnsi="宋体" w:eastAsia="宋体" w:cs="宋体"/>
          <w:color w:val="auto"/>
          <w:sz w:val="24"/>
          <w:highlight w:val="none"/>
          <w:lang w:eastAsia="zh-CN"/>
        </w:rPr>
      </w:pPr>
      <w:bookmarkStart w:id="34" w:name="_Toc28359009"/>
      <w:bookmarkStart w:id="35" w:name="_Toc28359086"/>
      <w:r>
        <w:rPr>
          <w:rFonts w:hint="eastAsia" w:ascii="宋体" w:hAnsi="宋体" w:eastAsia="宋体" w:cs="宋体"/>
          <w:color w:val="auto"/>
          <w:sz w:val="24"/>
          <w:highlight w:val="none"/>
        </w:rPr>
        <w:t>名  称：</w:t>
      </w:r>
      <w:bookmarkStart w:id="36" w:name="_Hlk152606677"/>
      <w:r>
        <w:rPr>
          <w:rFonts w:hint="eastAsia" w:ascii="宋体" w:hAnsi="宋体" w:cs="宋体"/>
          <w:color w:val="auto"/>
          <w:sz w:val="24"/>
          <w:highlight w:val="none"/>
          <w:lang w:eastAsia="zh-CN"/>
        </w:rPr>
        <w:t>常州市钟楼区卫生健康局</w:t>
      </w:r>
    </w:p>
    <w:bookmarkEnd w:id="36"/>
    <w:p w14:paraId="63BDCED7">
      <w:pPr>
        <w:spacing w:line="360" w:lineRule="auto"/>
        <w:ind w:left="852" w:hanging="43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地址：常州市钟楼区星港路88号  </w:t>
      </w:r>
    </w:p>
    <w:p w14:paraId="2F59DBC4">
      <w:pPr>
        <w:spacing w:line="360" w:lineRule="auto"/>
        <w:ind w:left="852" w:hanging="432"/>
        <w:jc w:val="left"/>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rPr>
        <w:t>联系人：</w:t>
      </w:r>
      <w:r>
        <w:rPr>
          <w:rFonts w:hint="eastAsia" w:ascii="宋体" w:hAnsi="宋体" w:cs="宋体"/>
          <w:color w:val="auto"/>
          <w:sz w:val="24"/>
          <w:highlight w:val="none"/>
          <w:shd w:val="clear" w:color="auto" w:fill="auto"/>
          <w:lang w:eastAsia="zh-CN"/>
        </w:rPr>
        <w:t>薛女士</w:t>
      </w:r>
    </w:p>
    <w:p w14:paraId="3FAFD0BD">
      <w:pPr>
        <w:spacing w:line="360" w:lineRule="auto"/>
        <w:ind w:left="852" w:hanging="432"/>
        <w:jc w:val="left"/>
        <w:rPr>
          <w:rFonts w:hint="default"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rPr>
        <w:t>电 话：0519-</w:t>
      </w:r>
      <w:r>
        <w:rPr>
          <w:rFonts w:hint="eastAsia" w:ascii="宋体" w:hAnsi="宋体" w:cs="宋体"/>
          <w:color w:val="auto"/>
          <w:sz w:val="24"/>
          <w:highlight w:val="none"/>
          <w:shd w:val="clear" w:color="auto" w:fill="auto"/>
          <w:lang w:val="en-US" w:eastAsia="zh-CN"/>
        </w:rPr>
        <w:t>88890507</w:t>
      </w:r>
    </w:p>
    <w:p w14:paraId="108AFFFA">
      <w:pPr>
        <w:spacing w:line="360" w:lineRule="auto"/>
        <w:ind w:left="854" w:hanging="434"/>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2.采购代理机构信息</w:t>
      </w:r>
      <w:bookmarkEnd w:id="34"/>
      <w:bookmarkEnd w:id="35"/>
    </w:p>
    <w:p w14:paraId="7511DCF7">
      <w:pPr>
        <w:spacing w:line="360" w:lineRule="auto"/>
        <w:ind w:left="852" w:hanging="432"/>
        <w:jc w:val="left"/>
        <w:rPr>
          <w:rFonts w:hint="eastAsia" w:ascii="宋体" w:hAnsi="宋体" w:eastAsia="宋体" w:cs="宋体"/>
          <w:color w:val="auto"/>
          <w:sz w:val="24"/>
          <w:highlight w:val="none"/>
        </w:rPr>
      </w:pPr>
      <w:bookmarkStart w:id="37" w:name="_Toc28359087"/>
      <w:bookmarkStart w:id="38" w:name="_Toc28359010"/>
      <w:r>
        <w:rPr>
          <w:rFonts w:hint="eastAsia" w:ascii="宋体" w:hAnsi="宋体" w:eastAsia="宋体" w:cs="宋体"/>
          <w:color w:val="auto"/>
          <w:sz w:val="24"/>
          <w:highlight w:val="none"/>
        </w:rPr>
        <w:t>名  称：常州盈泰招标有限公司</w:t>
      </w:r>
    </w:p>
    <w:p w14:paraId="114CC445">
      <w:pPr>
        <w:spacing w:line="360" w:lineRule="auto"/>
        <w:ind w:left="852" w:hanging="43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址：常州市新北区太湖中路8号锦湖创新中心A座11楼</w:t>
      </w:r>
    </w:p>
    <w:p w14:paraId="0F9A30C8">
      <w:pPr>
        <w:spacing w:line="360" w:lineRule="auto"/>
        <w:ind w:left="852" w:hanging="43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联系方式：0519-89853339</w:t>
      </w:r>
    </w:p>
    <w:p w14:paraId="0C728143">
      <w:pPr>
        <w:spacing w:line="360" w:lineRule="auto"/>
        <w:ind w:left="854" w:hanging="434"/>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3.项目联系方式</w:t>
      </w:r>
      <w:bookmarkEnd w:id="37"/>
      <w:bookmarkEnd w:id="38"/>
    </w:p>
    <w:p w14:paraId="071A0468">
      <w:pPr>
        <w:spacing w:line="360" w:lineRule="auto"/>
        <w:ind w:left="852" w:hanging="432"/>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项目联系人：</w:t>
      </w:r>
      <w:r>
        <w:rPr>
          <w:rFonts w:hint="eastAsia" w:ascii="宋体" w:hAnsi="宋体" w:cs="宋体"/>
          <w:color w:val="auto"/>
          <w:sz w:val="24"/>
          <w:highlight w:val="none"/>
          <w:lang w:eastAsia="zh-CN"/>
        </w:rPr>
        <w:t>周</w:t>
      </w:r>
      <w:r>
        <w:rPr>
          <w:rFonts w:hint="eastAsia" w:ascii="宋体" w:hAnsi="宋体" w:eastAsia="宋体" w:cs="宋体"/>
          <w:color w:val="auto"/>
          <w:sz w:val="24"/>
          <w:szCs w:val="20"/>
          <w:highlight w:val="none"/>
        </w:rPr>
        <w:t xml:space="preserve">女士      </w:t>
      </w:r>
    </w:p>
    <w:p w14:paraId="1011DE32">
      <w:pPr>
        <w:spacing w:line="360" w:lineRule="auto"/>
        <w:ind w:left="852" w:hanging="43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话：0519-89853339</w:t>
      </w:r>
    </w:p>
    <w:p w14:paraId="5B0A89A6">
      <w:pPr>
        <w:spacing w:line="360" w:lineRule="auto"/>
        <w:ind w:left="852" w:hanging="432"/>
        <w:jc w:val="left"/>
        <w:rPr>
          <w:rFonts w:hint="eastAsia" w:ascii="宋体" w:hAnsi="宋体" w:eastAsia="宋体" w:cs="宋体"/>
          <w:color w:val="auto"/>
          <w:sz w:val="24"/>
          <w:highlight w:val="none"/>
        </w:rPr>
      </w:pPr>
    </w:p>
    <w:p w14:paraId="32DE5B03">
      <w:pPr>
        <w:spacing w:line="360" w:lineRule="auto"/>
        <w:ind w:left="852" w:hanging="43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注：以上个人信息，由于工作需要经机构或本人同意对外公布。</w:t>
      </w:r>
    </w:p>
    <w:p w14:paraId="0E37286E">
      <w:pPr>
        <w:spacing w:line="360" w:lineRule="auto"/>
        <w:jc w:val="center"/>
        <w:outlineLvl w:val="0"/>
        <w:rPr>
          <w:b/>
          <w:color w:val="auto"/>
          <w:sz w:val="32"/>
          <w:szCs w:val="32"/>
          <w:highlight w:val="none"/>
        </w:rPr>
      </w:pPr>
      <w:r>
        <w:rPr>
          <w:color w:val="auto"/>
          <w:sz w:val="24"/>
          <w:highlight w:val="none"/>
        </w:rPr>
        <w:br w:type="page" w:clear="all"/>
      </w:r>
      <w:bookmarkStart w:id="39" w:name="_Toc127151777"/>
      <w:bookmarkStart w:id="40" w:name="_Toc127161488"/>
      <w:bookmarkStart w:id="41" w:name="_Toc305158928"/>
      <w:bookmarkStart w:id="42" w:name="_Toc264969275"/>
      <w:bookmarkStart w:id="43" w:name="_Toc195842950"/>
      <w:bookmarkStart w:id="44" w:name="_Toc305158854"/>
      <w:bookmarkStart w:id="45" w:name="_Toc353825548"/>
      <w:bookmarkStart w:id="46" w:name="_Toc265228423"/>
      <w:bookmarkStart w:id="47" w:name="_Toc226965856"/>
      <w:bookmarkStart w:id="48" w:name="_Toc150774783"/>
      <w:bookmarkStart w:id="49" w:name="_Toc9029"/>
      <w:bookmarkStart w:id="50" w:name="_Toc512937850"/>
      <w:bookmarkStart w:id="51" w:name="_Toc353873938"/>
      <w:r>
        <w:rPr>
          <w:b/>
          <w:color w:val="auto"/>
          <w:sz w:val="36"/>
          <w:szCs w:val="36"/>
          <w:highlight w:val="none"/>
        </w:rPr>
        <w:t>第二章   供应商须知</w:t>
      </w:r>
      <w:bookmarkEnd w:id="39"/>
      <w:bookmarkEnd w:id="40"/>
      <w:bookmarkEnd w:id="41"/>
      <w:bookmarkEnd w:id="42"/>
      <w:bookmarkEnd w:id="43"/>
      <w:bookmarkEnd w:id="44"/>
      <w:bookmarkEnd w:id="45"/>
      <w:bookmarkEnd w:id="46"/>
      <w:bookmarkEnd w:id="47"/>
      <w:bookmarkEnd w:id="48"/>
      <w:bookmarkEnd w:id="49"/>
      <w:bookmarkEnd w:id="50"/>
      <w:bookmarkEnd w:id="51"/>
    </w:p>
    <w:p w14:paraId="79B83D99">
      <w:pPr>
        <w:pStyle w:val="196"/>
        <w:tabs>
          <w:tab w:val="center" w:pos="4592"/>
          <w:tab w:val="left" w:pos="7860"/>
        </w:tabs>
        <w:spacing w:before="0" w:line="360" w:lineRule="auto"/>
        <w:rPr>
          <w:rFonts w:ascii="Times New Roman" w:hAnsi="Times New Roman" w:eastAsia="宋体"/>
          <w:b w:val="0"/>
          <w:color w:val="auto"/>
          <w:sz w:val="28"/>
          <w:highlight w:val="none"/>
        </w:rPr>
      </w:pPr>
      <w:bookmarkStart w:id="52" w:name="_Toc127151519"/>
      <w:bookmarkStart w:id="53" w:name="_Toc127151720"/>
      <w:bookmarkStart w:id="54" w:name="_Toc226309763"/>
      <w:bookmarkStart w:id="55" w:name="_Toc164351613"/>
      <w:bookmarkStart w:id="56" w:name="_Toc164608633"/>
      <w:bookmarkStart w:id="57" w:name="_Toc164229214"/>
      <w:bookmarkStart w:id="58" w:name="_Toc150509270"/>
      <w:bookmarkStart w:id="59" w:name="_Toc127161433"/>
      <w:bookmarkStart w:id="60" w:name="_Toc195842884"/>
      <w:bookmarkStart w:id="61" w:name="_Toc142311021"/>
      <w:bookmarkStart w:id="62" w:name="_Toc151193761"/>
      <w:bookmarkStart w:id="63" w:name="_Toc150480757"/>
      <w:bookmarkStart w:id="64" w:name="_Toc151193833"/>
      <w:bookmarkStart w:id="65" w:name="_Toc520356144"/>
      <w:bookmarkStart w:id="66" w:name="_Toc151193907"/>
      <w:bookmarkStart w:id="67" w:name="_Toc164608788"/>
      <w:bookmarkStart w:id="68" w:name="_Toc226337215"/>
      <w:bookmarkStart w:id="69" w:name="_Toc150774619"/>
      <w:bookmarkStart w:id="70" w:name="_Toc151190146"/>
      <w:bookmarkStart w:id="71" w:name="_Toc226965709"/>
      <w:bookmarkStart w:id="72" w:name="_Toc150774724"/>
      <w:bookmarkStart w:id="73" w:name="_Toc149720812"/>
      <w:bookmarkStart w:id="74" w:name="_Toc164229360"/>
      <w:bookmarkStart w:id="75" w:name="_Toc151193689"/>
      <w:bookmarkStart w:id="76" w:name="_Toc226965792"/>
      <w:bookmarkStart w:id="77" w:name="_Toc151193617"/>
      <w:r>
        <w:rPr>
          <w:rFonts w:ascii="Times New Roman" w:hAnsi="Times New Roman" w:eastAsia="宋体"/>
          <w:color w:val="auto"/>
          <w:sz w:val="28"/>
          <w:highlight w:val="none"/>
        </w:rPr>
        <w:t>供应商须知资料表</w:t>
      </w:r>
    </w:p>
    <w:p w14:paraId="6ABAEA9F">
      <w:pPr>
        <w:jc w:val="center"/>
        <w:rPr>
          <w:b/>
          <w:color w:val="auto"/>
          <w:sz w:val="28"/>
          <w:szCs w:val="28"/>
          <w:highlight w:val="none"/>
        </w:rPr>
      </w:pPr>
    </w:p>
    <w:p w14:paraId="3FF251B5">
      <w:pPr>
        <w:spacing w:line="360" w:lineRule="auto"/>
        <w:ind w:firstLine="480"/>
        <w:rPr>
          <w:color w:val="auto"/>
          <w:sz w:val="24"/>
          <w:highlight w:val="none"/>
        </w:rPr>
      </w:pPr>
      <w:r>
        <w:rPr>
          <w:color w:val="auto"/>
          <w:sz w:val="24"/>
          <w:highlight w:val="none"/>
        </w:rPr>
        <w:t>本表是对供应商须知的具体补充和修改，如有矛盾，均以本资料表为准。标记“</w:t>
      </w:r>
      <w:r>
        <w:rPr>
          <w:rFonts w:hint="eastAsia"/>
          <w:color w:val="auto"/>
          <w:sz w:val="24"/>
          <w:highlight w:val="none"/>
        </w:rPr>
        <w:t>■</w:t>
      </w:r>
      <w:r>
        <w:rPr>
          <w:color w:val="auto"/>
          <w:sz w:val="24"/>
          <w:highlight w:val="none"/>
        </w:rPr>
        <w:t>”的选项意为适用于本项目，标记“</w:t>
      </w:r>
      <w:r>
        <w:rPr>
          <w:color w:val="auto"/>
          <w:highlight w:val="none"/>
        </w:rPr>
        <w:t>□</w:t>
      </w:r>
      <w:r>
        <w:rPr>
          <w:color w:val="auto"/>
          <w:sz w:val="24"/>
          <w:highlight w:val="none"/>
        </w:rPr>
        <w:t>”的选项意为不适用于本项目。</w:t>
      </w:r>
    </w:p>
    <w:tbl>
      <w:tblPr>
        <w:tblStyle w:val="36"/>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253"/>
      </w:tblGrid>
      <w:tr w14:paraId="466A6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vAlign w:val="center"/>
          </w:tcPr>
          <w:p w14:paraId="0F2737B8">
            <w:pPr>
              <w:jc w:val="center"/>
              <w:rPr>
                <w:b/>
                <w:bCs/>
                <w:color w:val="auto"/>
                <w:sz w:val="24"/>
                <w:highlight w:val="none"/>
              </w:rPr>
            </w:pPr>
            <w:r>
              <w:rPr>
                <w:b/>
                <w:color w:val="auto"/>
                <w:sz w:val="24"/>
                <w:highlight w:val="none"/>
              </w:rPr>
              <w:t>条款号</w:t>
            </w:r>
          </w:p>
        </w:tc>
        <w:tc>
          <w:tcPr>
            <w:tcW w:w="1701" w:type="dxa"/>
            <w:vAlign w:val="center"/>
          </w:tcPr>
          <w:p w14:paraId="5187A8EB">
            <w:pPr>
              <w:jc w:val="center"/>
              <w:rPr>
                <w:b/>
                <w:bCs/>
                <w:color w:val="auto"/>
                <w:sz w:val="24"/>
                <w:highlight w:val="none"/>
              </w:rPr>
            </w:pPr>
            <w:r>
              <w:rPr>
                <w:b/>
                <w:bCs/>
                <w:color w:val="auto"/>
                <w:sz w:val="24"/>
                <w:highlight w:val="none"/>
              </w:rPr>
              <w:t>条目</w:t>
            </w:r>
          </w:p>
        </w:tc>
        <w:tc>
          <w:tcPr>
            <w:tcW w:w="7253" w:type="dxa"/>
            <w:vAlign w:val="center"/>
          </w:tcPr>
          <w:p w14:paraId="38BB2A06">
            <w:pPr>
              <w:jc w:val="center"/>
              <w:rPr>
                <w:b/>
                <w:bCs/>
                <w:color w:val="auto"/>
                <w:sz w:val="24"/>
                <w:highlight w:val="none"/>
              </w:rPr>
            </w:pPr>
            <w:r>
              <w:rPr>
                <w:b/>
                <w:bCs/>
                <w:color w:val="auto"/>
                <w:sz w:val="24"/>
                <w:highlight w:val="none"/>
              </w:rPr>
              <w:t>内容</w:t>
            </w:r>
          </w:p>
        </w:tc>
      </w:tr>
      <w:tr w14:paraId="6B8B4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4BAD6299">
            <w:pPr>
              <w:pStyle w:val="23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1701" w:type="dxa"/>
            <w:vAlign w:val="center"/>
          </w:tcPr>
          <w:p w14:paraId="42AFE23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w:t>
            </w:r>
          </w:p>
        </w:tc>
        <w:tc>
          <w:tcPr>
            <w:tcW w:w="7253" w:type="dxa"/>
            <w:vAlign w:val="center"/>
          </w:tcPr>
          <w:p w14:paraId="71BE5E26">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w:t>
            </w:r>
          </w:p>
          <w:p w14:paraId="07FB1980">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w:t>
            </w:r>
          </w:p>
          <w:p w14:paraId="6E79913C">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w:t>
            </w:r>
          </w:p>
          <w:p w14:paraId="01C2A05C">
            <w:pPr>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□工程</w:t>
            </w:r>
          </w:p>
        </w:tc>
      </w:tr>
      <w:tr w14:paraId="35F23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vMerge w:val="restart"/>
            <w:vAlign w:val="center"/>
          </w:tcPr>
          <w:p w14:paraId="53F1E209">
            <w:pPr>
              <w:pStyle w:val="23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1701" w:type="dxa"/>
            <w:vAlign w:val="center"/>
          </w:tcPr>
          <w:p w14:paraId="61C238E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现场考察</w:t>
            </w:r>
          </w:p>
        </w:tc>
        <w:tc>
          <w:tcPr>
            <w:tcW w:w="7253" w:type="dxa"/>
            <w:vAlign w:val="center"/>
          </w:tcPr>
          <w:p w14:paraId="2A27732A">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■不组织</w:t>
            </w:r>
          </w:p>
          <w:p w14:paraId="18405C2C">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□组织，考察时间：___年___月___日___点___分</w:t>
            </w:r>
          </w:p>
          <w:p w14:paraId="4F83F00A">
            <w:pPr>
              <w:pStyle w:val="2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考察地点：___________。</w:t>
            </w:r>
          </w:p>
        </w:tc>
      </w:tr>
      <w:tr w14:paraId="36B41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vMerge w:val="continue"/>
            <w:vAlign w:val="center"/>
          </w:tcPr>
          <w:p w14:paraId="694C7475">
            <w:pPr>
              <w:pStyle w:val="230"/>
              <w:jc w:val="center"/>
              <w:rPr>
                <w:rFonts w:hint="eastAsia" w:ascii="宋体" w:hAnsi="宋体" w:eastAsia="宋体" w:cs="宋体"/>
                <w:color w:val="auto"/>
                <w:sz w:val="24"/>
                <w:szCs w:val="24"/>
                <w:highlight w:val="none"/>
              </w:rPr>
            </w:pPr>
          </w:p>
        </w:tc>
        <w:tc>
          <w:tcPr>
            <w:tcW w:w="1701" w:type="dxa"/>
            <w:vAlign w:val="center"/>
          </w:tcPr>
          <w:p w14:paraId="5919AFB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磋商前答疑会</w:t>
            </w:r>
          </w:p>
        </w:tc>
        <w:tc>
          <w:tcPr>
            <w:tcW w:w="7253" w:type="dxa"/>
            <w:vAlign w:val="center"/>
          </w:tcPr>
          <w:p w14:paraId="1CE31333">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■不召开</w:t>
            </w:r>
          </w:p>
          <w:p w14:paraId="4173CA03">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□召开，召开时间：___年___月___日___点___分</w:t>
            </w:r>
          </w:p>
          <w:p w14:paraId="36ABE387">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召开地点：___________。</w:t>
            </w:r>
          </w:p>
        </w:tc>
      </w:tr>
      <w:tr w14:paraId="46C71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88" w:type="dxa"/>
            <w:vAlign w:val="center"/>
          </w:tcPr>
          <w:p w14:paraId="62890B66">
            <w:pPr>
              <w:pStyle w:val="23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4.2.5</w:t>
            </w:r>
          </w:p>
        </w:tc>
        <w:tc>
          <w:tcPr>
            <w:tcW w:w="1701" w:type="dxa"/>
            <w:vAlign w:val="center"/>
          </w:tcPr>
          <w:p w14:paraId="5FD44F6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标的所属行业</w:t>
            </w:r>
          </w:p>
        </w:tc>
        <w:tc>
          <w:tcPr>
            <w:tcW w:w="7253" w:type="dxa"/>
            <w:vAlign w:val="center"/>
          </w:tcPr>
          <w:p w14:paraId="13CFB5F2">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本项目采购标的对应的中小企业划分标准所属行业：</w:t>
            </w:r>
            <w:r>
              <w:rPr>
                <w:rFonts w:hint="eastAsia" w:ascii="宋体" w:hAnsi="宋体" w:eastAsia="宋体" w:cs="宋体"/>
                <w:color w:val="auto"/>
                <w:sz w:val="24"/>
                <w:szCs w:val="24"/>
                <w:highlight w:val="none"/>
                <w:u w:val="single"/>
              </w:rPr>
              <w:t>软件和信息技术服务业。从业人员 300 人以下或营业收入 10000 万元以下的为中小微型企业。其中，从业人员 100 人及以上，且营业收入 1000 万元及以上的为中型企业；从业人员 10 人及以上，且营业收入 50 万元及以上的为小型企业；从业人员 10 人以下或营业收入 50 万元以下的为微型企业。</w:t>
            </w:r>
          </w:p>
        </w:tc>
      </w:tr>
      <w:tr w14:paraId="58FE0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8" w:hRule="atLeast"/>
          <w:jc w:val="center"/>
        </w:trPr>
        <w:tc>
          <w:tcPr>
            <w:tcW w:w="988" w:type="dxa"/>
            <w:vAlign w:val="center"/>
          </w:tcPr>
          <w:p w14:paraId="7E1D6FE2">
            <w:pPr>
              <w:pStyle w:val="23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w:t>
            </w:r>
          </w:p>
        </w:tc>
        <w:tc>
          <w:tcPr>
            <w:tcW w:w="1701" w:type="dxa"/>
            <w:vAlign w:val="center"/>
          </w:tcPr>
          <w:p w14:paraId="5B0AB65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w:t>
            </w:r>
          </w:p>
        </w:tc>
        <w:tc>
          <w:tcPr>
            <w:tcW w:w="7253" w:type="dxa"/>
            <w:vAlign w:val="center"/>
          </w:tcPr>
          <w:p w14:paraId="073C6B47">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报价的特殊规定：</w:t>
            </w:r>
          </w:p>
          <w:p w14:paraId="29E6E6FD">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p w14:paraId="414AFAC2">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■有，具体情形：</w:t>
            </w:r>
            <w:r>
              <w:rPr>
                <w:rFonts w:hint="eastAsia" w:ascii="宋体" w:hAnsi="宋体" w:eastAsia="宋体" w:cs="宋体"/>
                <w:b/>
                <w:bCs/>
                <w:color w:val="auto"/>
                <w:sz w:val="24"/>
                <w:szCs w:val="24"/>
                <w:highlight w:val="none"/>
                <w:u w:val="single"/>
              </w:rPr>
              <w:t>2次报价</w:t>
            </w:r>
            <w:r>
              <w:rPr>
                <w:rFonts w:hint="eastAsia" w:ascii="宋体" w:hAnsi="宋体" w:eastAsia="宋体" w:cs="宋体"/>
                <w:color w:val="auto"/>
                <w:sz w:val="24"/>
                <w:szCs w:val="24"/>
                <w:highlight w:val="none"/>
                <w:u w:val="single"/>
              </w:rPr>
              <w:t>，响应文件中的报价作为首次报价，首次报价不超最高限价（控制价），磋商小组应当要求所有实质性响应的供应商在规定时间内提交最后报价，最后报价作为评分依据。</w:t>
            </w:r>
          </w:p>
        </w:tc>
      </w:tr>
      <w:tr w14:paraId="20EEC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5" w:hRule="atLeast"/>
          <w:jc w:val="center"/>
        </w:trPr>
        <w:tc>
          <w:tcPr>
            <w:tcW w:w="988" w:type="dxa"/>
            <w:vAlign w:val="center"/>
          </w:tcPr>
          <w:p w14:paraId="6B1B1A0D">
            <w:pPr>
              <w:pStyle w:val="23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p>
        </w:tc>
        <w:tc>
          <w:tcPr>
            <w:tcW w:w="1701" w:type="dxa"/>
            <w:vAlign w:val="center"/>
          </w:tcPr>
          <w:p w14:paraId="4203D22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w:t>
            </w:r>
          </w:p>
        </w:tc>
        <w:tc>
          <w:tcPr>
            <w:tcW w:w="7253" w:type="dxa"/>
            <w:vAlign w:val="center"/>
          </w:tcPr>
          <w:p w14:paraId="3DDCECA0">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免收</w:t>
            </w:r>
          </w:p>
        </w:tc>
      </w:tr>
      <w:tr w14:paraId="4A059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988" w:type="dxa"/>
            <w:vAlign w:val="center"/>
          </w:tcPr>
          <w:p w14:paraId="5711C335">
            <w:pPr>
              <w:pStyle w:val="23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p>
        </w:tc>
        <w:tc>
          <w:tcPr>
            <w:tcW w:w="1701" w:type="dxa"/>
            <w:vAlign w:val="center"/>
          </w:tcPr>
          <w:p w14:paraId="2150281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响应有效期</w:t>
            </w:r>
          </w:p>
        </w:tc>
        <w:tc>
          <w:tcPr>
            <w:tcW w:w="7253" w:type="dxa"/>
            <w:vAlign w:val="center"/>
          </w:tcPr>
          <w:p w14:paraId="030F7C63">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自提交响应文件的截止之日起算</w:t>
            </w:r>
            <w:r>
              <w:rPr>
                <w:rFonts w:hint="eastAsia" w:ascii="宋体" w:hAnsi="宋体" w:eastAsia="宋体" w:cs="宋体"/>
                <w:color w:val="auto"/>
                <w:sz w:val="24"/>
                <w:szCs w:val="24"/>
                <w:highlight w:val="none"/>
                <w:u w:val="single"/>
              </w:rPr>
              <w:t>60</w:t>
            </w:r>
            <w:r>
              <w:rPr>
                <w:rFonts w:hint="eastAsia" w:ascii="宋体" w:hAnsi="宋体" w:eastAsia="宋体" w:cs="宋体"/>
                <w:color w:val="auto"/>
                <w:sz w:val="24"/>
                <w:szCs w:val="24"/>
                <w:highlight w:val="none"/>
              </w:rPr>
              <w:t>日历天。</w:t>
            </w:r>
          </w:p>
        </w:tc>
      </w:tr>
      <w:tr w14:paraId="7537A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12173B2E">
            <w:pPr>
              <w:pStyle w:val="23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23.5</w:t>
            </w:r>
          </w:p>
        </w:tc>
        <w:tc>
          <w:tcPr>
            <w:tcW w:w="1701" w:type="dxa"/>
            <w:vAlign w:val="center"/>
          </w:tcPr>
          <w:p w14:paraId="64DC19E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w:t>
            </w:r>
          </w:p>
        </w:tc>
        <w:tc>
          <w:tcPr>
            <w:tcW w:w="7253" w:type="dxa"/>
            <w:vAlign w:val="center"/>
          </w:tcPr>
          <w:p w14:paraId="38CCA4B1">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本项目是否允许分包： </w:t>
            </w:r>
          </w:p>
          <w:p w14:paraId="56CD056E">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w:t>
            </w:r>
          </w:p>
          <w:p w14:paraId="1740C5D7">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□允许，具体要求：_______。</w:t>
            </w:r>
          </w:p>
          <w:p w14:paraId="449193AD">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（1）可以分包履行的具体内容：_______；</w:t>
            </w:r>
          </w:p>
          <w:p w14:paraId="62D7B984">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（2）允许分包的金额或者比例：_______；</w:t>
            </w:r>
          </w:p>
          <w:p w14:paraId="631B6E9A">
            <w:pPr>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（3）其他要求：_______。</w:t>
            </w:r>
          </w:p>
        </w:tc>
      </w:tr>
      <w:tr w14:paraId="22A0C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3" w:hRule="atLeast"/>
          <w:jc w:val="center"/>
        </w:trPr>
        <w:tc>
          <w:tcPr>
            <w:tcW w:w="988" w:type="dxa"/>
            <w:vAlign w:val="center"/>
          </w:tcPr>
          <w:p w14:paraId="01AA074B">
            <w:pPr>
              <w:pStyle w:val="23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24.1.1</w:t>
            </w:r>
          </w:p>
        </w:tc>
        <w:tc>
          <w:tcPr>
            <w:tcW w:w="1701" w:type="dxa"/>
            <w:vAlign w:val="center"/>
          </w:tcPr>
          <w:p w14:paraId="6CDCDAF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w:t>
            </w:r>
          </w:p>
        </w:tc>
        <w:tc>
          <w:tcPr>
            <w:tcW w:w="7253" w:type="dxa"/>
            <w:vAlign w:val="center"/>
          </w:tcPr>
          <w:p w14:paraId="0D8357DA">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询问送达形式：</w:t>
            </w:r>
            <w:r>
              <w:rPr>
                <w:rFonts w:hint="eastAsia" w:ascii="宋体" w:hAnsi="宋体" w:eastAsia="宋体" w:cs="宋体"/>
                <w:color w:val="auto"/>
                <w:sz w:val="24"/>
                <w:szCs w:val="24"/>
                <w:highlight w:val="none"/>
                <w:u w:val="single"/>
              </w:rPr>
              <w:t>书面形式</w:t>
            </w:r>
            <w:r>
              <w:rPr>
                <w:rFonts w:hint="eastAsia" w:ascii="宋体" w:hAnsi="宋体" w:eastAsia="宋体" w:cs="宋体"/>
                <w:color w:val="auto"/>
                <w:sz w:val="24"/>
                <w:szCs w:val="24"/>
                <w:highlight w:val="none"/>
              </w:rPr>
              <w:t>。</w:t>
            </w:r>
          </w:p>
        </w:tc>
      </w:tr>
      <w:tr w14:paraId="2EEAF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0DECF15E">
            <w:pPr>
              <w:pStyle w:val="23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w:t>
            </w:r>
          </w:p>
        </w:tc>
        <w:tc>
          <w:tcPr>
            <w:tcW w:w="1701" w:type="dxa"/>
            <w:vAlign w:val="center"/>
          </w:tcPr>
          <w:p w14:paraId="54B0EA3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7253" w:type="dxa"/>
            <w:vAlign w:val="center"/>
          </w:tcPr>
          <w:p w14:paraId="1CDFF5F6">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接收询问和质疑的联系方式</w:t>
            </w:r>
          </w:p>
          <w:p w14:paraId="381D407F">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联系部门：</w:t>
            </w:r>
            <w:r>
              <w:rPr>
                <w:rFonts w:hint="eastAsia" w:ascii="宋体" w:hAnsi="宋体" w:eastAsia="宋体" w:cs="宋体"/>
                <w:color w:val="auto"/>
                <w:sz w:val="24"/>
                <w:szCs w:val="24"/>
                <w:highlight w:val="none"/>
                <w:u w:val="single"/>
              </w:rPr>
              <w:t>常州盈泰招标有限公司</w:t>
            </w:r>
            <w:r>
              <w:rPr>
                <w:rFonts w:hint="eastAsia" w:ascii="宋体" w:hAnsi="宋体" w:eastAsia="宋体" w:cs="宋体"/>
                <w:color w:val="auto"/>
                <w:sz w:val="24"/>
                <w:szCs w:val="24"/>
                <w:highlight w:val="none"/>
              </w:rPr>
              <w:t>；</w:t>
            </w:r>
          </w:p>
          <w:p w14:paraId="40D5EF58">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0519-89853339</w:t>
            </w:r>
            <w:r>
              <w:rPr>
                <w:rFonts w:hint="eastAsia" w:ascii="宋体" w:hAnsi="宋体" w:eastAsia="宋体" w:cs="宋体"/>
                <w:color w:val="auto"/>
                <w:sz w:val="24"/>
                <w:szCs w:val="24"/>
                <w:highlight w:val="none"/>
              </w:rPr>
              <w:t>；</w:t>
            </w:r>
          </w:p>
          <w:p w14:paraId="74EF7527">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w:t>
            </w:r>
            <w:r>
              <w:rPr>
                <w:rFonts w:hint="eastAsia" w:ascii="宋体" w:hAnsi="宋体" w:eastAsia="宋体" w:cs="宋体"/>
                <w:color w:val="auto"/>
                <w:sz w:val="24"/>
                <w:szCs w:val="24"/>
                <w:highlight w:val="none"/>
                <w:u w:val="single"/>
              </w:rPr>
              <w:t>常州市新北区太湖中路8号锦湖创新中心A座11楼</w:t>
            </w:r>
            <w:r>
              <w:rPr>
                <w:rFonts w:hint="eastAsia" w:ascii="宋体" w:hAnsi="宋体" w:eastAsia="宋体" w:cs="宋体"/>
                <w:color w:val="auto"/>
                <w:sz w:val="24"/>
                <w:szCs w:val="24"/>
                <w:highlight w:val="none"/>
              </w:rPr>
              <w:t>。</w:t>
            </w:r>
          </w:p>
        </w:tc>
      </w:tr>
      <w:tr w14:paraId="61900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19717153">
            <w:pPr>
              <w:pStyle w:val="23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c>
          <w:tcPr>
            <w:tcW w:w="1701" w:type="dxa"/>
            <w:vAlign w:val="center"/>
          </w:tcPr>
          <w:p w14:paraId="7273D07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代理费</w:t>
            </w:r>
          </w:p>
        </w:tc>
        <w:tc>
          <w:tcPr>
            <w:tcW w:w="7253" w:type="dxa"/>
            <w:vAlign w:val="center"/>
          </w:tcPr>
          <w:p w14:paraId="010F6990">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收费对象：</w:t>
            </w:r>
          </w:p>
          <w:p w14:paraId="0AD47AA2">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p w14:paraId="173A3782">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■成交供应商</w:t>
            </w:r>
          </w:p>
          <w:p w14:paraId="11FCC763">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收费标准：</w:t>
            </w:r>
          </w:p>
          <w:tbl>
            <w:tblPr>
              <w:tblStyle w:val="36"/>
              <w:tblW w:w="47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27"/>
              <w:gridCol w:w="1707"/>
            </w:tblGrid>
            <w:tr w14:paraId="4A522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3" w:hRule="atLeast"/>
              </w:trPr>
              <w:tc>
                <w:tcPr>
                  <w:tcW w:w="3027" w:type="dxa"/>
                </w:tcPr>
                <w:p w14:paraId="07779F24">
                  <w:pPr>
                    <w:spacing w:line="440" w:lineRule="exact"/>
                    <w:ind w:firstLine="10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342900</wp:posOffset>
                            </wp:positionH>
                            <wp:positionV relativeFrom="paragraph">
                              <wp:posOffset>-4445</wp:posOffset>
                            </wp:positionV>
                            <wp:extent cx="1506855" cy="1675130"/>
                            <wp:effectExtent l="3810" t="3175" r="13335" b="17145"/>
                            <wp:wrapNone/>
                            <wp:docPr id="3" name="直接连接符 3"/>
                            <wp:cNvGraphicFramePr/>
                            <a:graphic xmlns:a="http://schemas.openxmlformats.org/drawingml/2006/main">
                              <a:graphicData uri="http://schemas.microsoft.com/office/word/2010/wordprocessingShape">
                                <wps:wsp>
                                  <wps:cNvCnPr/>
                                  <wps:spPr bwMode="auto">
                                    <a:xfrm flipH="1" flipV="1">
                                      <a:off x="0" y="0"/>
                                      <a:ext cx="1506855" cy="1675130"/>
                                    </a:xfrm>
                                    <a:prstGeom prst="line">
                                      <a:avLst/>
                                    </a:prstGeom>
                                    <a:solidFill>
                                      <a:srgbClr val="FFFFFF"/>
                                    </a:solidFill>
                                    <a:ln>
                                      <a:solidFill>
                                        <a:srgbClr val="000000"/>
                                      </a:solidFill>
                                    </a:ln>
                                    <a:effectLst/>
                                  </wps:spPr>
                                  <wps:bodyPr/>
                                </wps:wsp>
                              </a:graphicData>
                            </a:graphic>
                          </wp:anchor>
                        </w:drawing>
                      </mc:Choice>
                      <mc:Fallback>
                        <w:pict>
                          <v:line id="_x0000_s1026" o:spid="_x0000_s1026" o:spt="20" style="position:absolute;left:0pt;flip:x y;margin-left:27pt;margin-top:-0.35pt;height:131.9pt;width:118.65pt;z-index:251660288;mso-width-relative:page;mso-height-relative:page;" fillcolor="#FFFFFF" filled="t" stroked="t" coordsize="21600,21600" o:gfxdata="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VLcW81QAAAAgBAAAPAAAAAAAAAAEA&#10;IAAAACIAAABkcnMvZG93bnJldi54bWxQSwECFAAUAAAACACHTuJAmAIErtkBAAC2AwAADgAAAAAA&#10;AAABACAAAAAkAQAAZHJzL2Uyb0RvYy54bWxQSwUGAAAAAAYABgBZAQAAbwUAAAAA&#10;">
                            <v:fill on="t" focussize="0,0"/>
                            <v:stroke color="#000000" joinstyle="round"/>
                            <v:imagedata o:title=""/>
                            <o:lock v:ext="edit" aspectratio="f"/>
                          </v:line>
                        </w:pict>
                      </mc:Fallback>
                    </mc:AlternateContent>
                  </w:r>
                  <w:r>
                    <w:rPr>
                      <w:rFonts w:hint="eastAsia" w:ascii="宋体" w:hAnsi="宋体" w:eastAsia="宋体" w:cs="宋体"/>
                      <w:bCs/>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-112395</wp:posOffset>
                            </wp:positionH>
                            <wp:positionV relativeFrom="paragraph">
                              <wp:posOffset>-4445</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w:pict>
                          <v:line id="_x0000_s1026" o:spid="_x0000_s1026" o:spt="20" style="position:absolute;left:0pt;margin-left:-8.85pt;margin-top:-0.35pt;height:0pt;width:0.05pt;z-index:251659264;mso-width-relative:page;mso-height-relative:page;" fillcolor="#FFFFFF" filled="t" stroked="t" coordsize="21600,21600" o:gfxdata="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N6JQU3TAAAABwEAAA8AAAAAAAAAAQAgAAAAIgAAAGRycy9kb3ducmV2LnhtbFBL&#10;AQIUABQAAAAIAIdO4kCy34hIwgEAAJgDAAAOAAAAAAAAAAEAIAAAACIBAABkcnMvZTJvRG9jLnht&#10;bFBLBQYAAAAABgAGAFkBAABWBQAAAAA=&#10;">
                            <v:fill on="t" focussize="0,0"/>
                            <v:stroke color="#000000" joinstyle="round"/>
                            <v:imagedata o:title=""/>
                            <o:lock v:ext="edit" aspectratio="f"/>
                          </v:line>
                        </w:pict>
                      </mc:Fallback>
                    </mc:AlternateContent>
                  </w:r>
                  <w:r>
                    <w:rPr>
                      <w:rFonts w:hint="eastAsia" w:ascii="宋体" w:hAnsi="宋体" w:eastAsia="宋体" w:cs="宋体"/>
                      <w:bCs/>
                      <w:color w:val="auto"/>
                      <w:sz w:val="24"/>
                      <w:szCs w:val="24"/>
                      <w:highlight w:val="none"/>
                    </w:rPr>
                    <w:t>服</w:t>
                  </w:r>
                </w:p>
                <w:p w14:paraId="1C501567">
                  <w:pPr>
                    <w:spacing w:line="440" w:lineRule="exact"/>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费　　　   务</w:t>
                  </w:r>
                </w:p>
                <w:p w14:paraId="1AF14E71">
                  <w:pPr>
                    <w:spacing w:line="440" w:lineRule="exact"/>
                    <w:ind w:firstLine="14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-64135</wp:posOffset>
                            </wp:positionH>
                            <wp:positionV relativeFrom="paragraph">
                              <wp:posOffset>81915</wp:posOffset>
                            </wp:positionV>
                            <wp:extent cx="1914525" cy="1029335"/>
                            <wp:effectExtent l="2540" t="4445" r="6985" b="13970"/>
                            <wp:wrapNone/>
                            <wp:docPr id="5" name="直接连接符 5"/>
                            <wp:cNvGraphicFramePr/>
                            <a:graphic xmlns:a="http://schemas.openxmlformats.org/drawingml/2006/main">
                              <a:graphicData uri="http://schemas.microsoft.com/office/word/2010/wordprocessingShape">
                                <wps:wsp>
                                  <wps:cNvCnPr/>
                                  <wps:spPr bwMode="auto">
                                    <a:xfrm flipH="1" flipV="1">
                                      <a:off x="0" y="0"/>
                                      <a:ext cx="1914525" cy="1029335"/>
                                    </a:xfrm>
                                    <a:prstGeom prst="line">
                                      <a:avLst/>
                                    </a:prstGeom>
                                    <a:noFill/>
                                    <a:ln>
                                      <a:solidFill>
                                        <a:srgbClr val="000000"/>
                                      </a:solidFill>
                                    </a:ln>
                                    <a:effectLst/>
                                  </wps:spPr>
                                  <wps:bodyPr/>
                                </wps:wsp>
                              </a:graphicData>
                            </a:graphic>
                          </wp:anchor>
                        </w:drawing>
                      </mc:Choice>
                      <mc:Fallback>
                        <w:pict>
                          <v:line id="_x0000_s1026" o:spid="_x0000_s1026" o:spt="20" style="position:absolute;left:0pt;flip:x y;margin-left:-5.05pt;margin-top:6.45pt;height:81.05pt;width:150.75pt;z-index:251660288;mso-width-relative:page;mso-height-relative:page;" filled="f" stroked="t" coordsize="21600,21600" o:gfxdata="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MgDMhHUAAAACgEAAA8AAAAAAAAAAQAgAAAA&#10;IgAAAGRycy9kb3ducmV2LnhtbFBLAQIUABQAAAAIAIdO4kCriZ0H1gEAAI0DAAAOAAAAAAAAAAEA&#10;IAAAACMBAABkcnMvZTJvRG9jLnhtbFBLBQYAAAAABgAGAFkBAABrBQAAAAA=&#10;">
                            <v:fill on="f" focussize="0,0"/>
                            <v:stroke color="#000000" joinstyle="round"/>
                            <v:imagedata o:title=""/>
                            <o:lock v:ext="edit" aspectratio="f"/>
                          </v:line>
                        </w:pict>
                      </mc:Fallback>
                    </mc:AlternateContent>
                  </w:r>
                  <w:r>
                    <w:rPr>
                      <w:rFonts w:hint="eastAsia" w:ascii="宋体" w:hAnsi="宋体" w:eastAsia="宋体" w:cs="宋体"/>
                      <w:bCs/>
                      <w:color w:val="auto"/>
                      <w:sz w:val="24"/>
                      <w:szCs w:val="24"/>
                      <w:highlight w:val="none"/>
                    </w:rPr>
                    <w:t>　   类</w:t>
                  </w:r>
                </w:p>
                <w:p w14:paraId="6A40803C">
                  <w:pPr>
                    <w:spacing w:line="440" w:lineRule="exact"/>
                    <w:ind w:firstLine="1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率　       型</w:t>
                  </w:r>
                </w:p>
                <w:p w14:paraId="115BC740">
                  <w:pPr>
                    <w:spacing w:line="440" w:lineRule="exact"/>
                    <w:ind w:firstLine="1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w:t>
                  </w:r>
                </w:p>
                <w:p w14:paraId="7BE428F2">
                  <w:pPr>
                    <w:spacing w:line="44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成交</w:t>
                  </w:r>
                  <w:r>
                    <w:rPr>
                      <w:rFonts w:hint="eastAsia" w:ascii="宋体" w:hAnsi="宋体" w:eastAsia="宋体" w:cs="宋体"/>
                      <w:bCs/>
                      <w:color w:val="auto"/>
                      <w:sz w:val="24"/>
                      <w:szCs w:val="24"/>
                      <w:highlight w:val="none"/>
                    </w:rPr>
                    <w:t>金额（万元）</w:t>
                  </w:r>
                </w:p>
              </w:tc>
              <w:tc>
                <w:tcPr>
                  <w:tcW w:w="1707" w:type="dxa"/>
                  <w:vAlign w:val="center"/>
                </w:tcPr>
                <w:p w14:paraId="09E7D5D7">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服务类</w:t>
                  </w:r>
                </w:p>
              </w:tc>
            </w:tr>
            <w:tr w14:paraId="5E344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27" w:type="dxa"/>
                </w:tcPr>
                <w:p w14:paraId="08676A93">
                  <w:pPr>
                    <w:spacing w:line="2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100（含，下同）以下</w:t>
                  </w:r>
                </w:p>
              </w:tc>
              <w:tc>
                <w:tcPr>
                  <w:tcW w:w="1707" w:type="dxa"/>
                  <w:vAlign w:val="center"/>
                </w:tcPr>
                <w:p w14:paraId="573B3629">
                  <w:pPr>
                    <w:spacing w:line="2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r>
            <w:tr w14:paraId="05A32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27" w:type="dxa"/>
                </w:tcPr>
                <w:p w14:paraId="10AE1294">
                  <w:pPr>
                    <w:spacing w:line="2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100-500</w:t>
                  </w:r>
                </w:p>
              </w:tc>
              <w:tc>
                <w:tcPr>
                  <w:tcW w:w="1707" w:type="dxa"/>
                  <w:vAlign w:val="center"/>
                </w:tcPr>
                <w:p w14:paraId="2482221A">
                  <w:pPr>
                    <w:spacing w:line="2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p>
              </w:tc>
            </w:tr>
            <w:tr w14:paraId="3135C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27" w:type="dxa"/>
                </w:tcPr>
                <w:p w14:paraId="7847A6EE">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707" w:type="dxa"/>
                </w:tcPr>
                <w:p w14:paraId="6754CAD4">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bl>
          <w:p w14:paraId="1BCC61B4">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2.代理服务收费按差额定率累进法计算。</w:t>
            </w:r>
          </w:p>
          <w:p w14:paraId="4A85D7EC">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3.代理服务收费按上述计算方法不足人民币3000元的，按人民币3000元收取。</w:t>
            </w:r>
          </w:p>
          <w:p w14:paraId="299271A2">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4.成交供应商如果未按规定交纳代理服务费，将保留诉讼权利。</w:t>
            </w:r>
          </w:p>
          <w:p w14:paraId="23624231">
            <w:pPr>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缴纳时间：</w:t>
            </w:r>
            <w:r>
              <w:rPr>
                <w:rFonts w:hint="eastAsia" w:ascii="宋体" w:hAnsi="宋体" w:eastAsia="宋体" w:cs="宋体"/>
                <w:color w:val="auto"/>
                <w:sz w:val="24"/>
                <w:szCs w:val="24"/>
                <w:highlight w:val="none"/>
                <w:u w:val="single"/>
              </w:rPr>
              <w:t>成交供应商应在领取成交通知书前将代理服务费付至采购代理机构指定的收款账户。成交供应商如果未按规定缴纳代理服务费，将保留诉讼的权利。</w:t>
            </w:r>
          </w:p>
          <w:p w14:paraId="64B10DE3">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收款单位：常州盈泰招标有限公司</w:t>
            </w:r>
          </w:p>
          <w:p w14:paraId="74CF1138">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开户银行：中国建设银行常州市延陵路支行</w:t>
            </w:r>
          </w:p>
          <w:p w14:paraId="386920E0">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银行账号：32050162853600001068</w:t>
            </w:r>
          </w:p>
        </w:tc>
      </w:tr>
      <w:tr w14:paraId="12FAC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6F2E591D">
            <w:pPr>
              <w:pStyle w:val="23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p>
        </w:tc>
        <w:tc>
          <w:tcPr>
            <w:tcW w:w="1701" w:type="dxa"/>
            <w:shd w:val="clear" w:color="auto" w:fill="auto"/>
            <w:vAlign w:val="center"/>
          </w:tcPr>
          <w:p w14:paraId="4345A1F8">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纸质中标（成交）文件</w:t>
            </w:r>
          </w:p>
        </w:tc>
        <w:tc>
          <w:tcPr>
            <w:tcW w:w="7253" w:type="dxa"/>
            <w:shd w:val="clear" w:color="auto" w:fill="auto"/>
            <w:vAlign w:val="center"/>
          </w:tcPr>
          <w:p w14:paraId="6715CBC7">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rPr>
              <w:t>成交供应商在签订合同前需递交与电子响应文件内容一致的纸质响应文件叁份（需打印清晰，标注目录及页码），作为项目归档使用。（递交方式可采用邮寄或现场送达至常州</w:t>
            </w:r>
            <w:r>
              <w:rPr>
                <w:rFonts w:hint="eastAsia" w:ascii="宋体" w:hAnsi="宋体" w:eastAsia="宋体" w:cs="宋体"/>
                <w:b/>
                <w:color w:val="auto"/>
                <w:sz w:val="24"/>
                <w:szCs w:val="24"/>
                <w:highlight w:val="none"/>
                <w:lang w:eastAsia="zh-CN"/>
              </w:rPr>
              <w:t>盈泰招标有限公司</w:t>
            </w:r>
            <w:r>
              <w:rPr>
                <w:rFonts w:hint="eastAsia" w:ascii="宋体" w:hAnsi="宋体" w:eastAsia="宋体" w:cs="宋体"/>
                <w:b/>
                <w:color w:val="auto"/>
                <w:sz w:val="24"/>
                <w:szCs w:val="24"/>
                <w:highlight w:val="none"/>
              </w:rPr>
              <w:t xml:space="preserve">，联系方式见《第一章 </w:t>
            </w:r>
            <w:r>
              <w:rPr>
                <w:rFonts w:hint="eastAsia" w:ascii="宋体" w:hAnsi="宋体" w:eastAsia="宋体" w:cs="宋体"/>
                <w:b/>
                <w:color w:val="auto"/>
                <w:sz w:val="24"/>
                <w:szCs w:val="24"/>
                <w:highlight w:val="none"/>
                <w:lang w:eastAsia="zh-CN"/>
              </w:rPr>
              <w:t>采购</w:t>
            </w:r>
            <w:r>
              <w:rPr>
                <w:rFonts w:hint="eastAsia" w:ascii="宋体" w:hAnsi="宋体" w:eastAsia="宋体" w:cs="宋体"/>
                <w:b/>
                <w:color w:val="auto"/>
                <w:sz w:val="24"/>
                <w:szCs w:val="24"/>
                <w:highlight w:val="none"/>
              </w:rPr>
              <w:t>邀请》）</w:t>
            </w:r>
          </w:p>
        </w:tc>
      </w:tr>
    </w:tbl>
    <w:p w14:paraId="2AEA6EBD">
      <w:pPr>
        <w:tabs>
          <w:tab w:val="left" w:pos="5580"/>
        </w:tabs>
        <w:spacing w:line="360" w:lineRule="auto"/>
        <w:rPr>
          <w:color w:val="auto"/>
          <w:sz w:val="24"/>
          <w:highlight w:val="none"/>
        </w:rPr>
        <w:sectPr>
          <w:footerReference r:id="rId12" w:type="first"/>
          <w:footerReference r:id="rId11" w:type="default"/>
          <w:pgSz w:w="11907" w:h="16838"/>
          <w:pgMar w:top="1417" w:right="1134" w:bottom="1417" w:left="1361" w:header="850" w:footer="850" w:gutter="0"/>
          <w:pgBorders>
            <w:top w:val="none" w:sz="0" w:space="0"/>
            <w:left w:val="none" w:sz="0" w:space="0"/>
            <w:bottom w:val="none" w:sz="0" w:space="0"/>
            <w:right w:val="none" w:sz="0" w:space="0"/>
          </w:pgBorders>
          <w:cols w:space="0" w:num="1"/>
          <w:titlePg/>
          <w:docGrid w:linePitch="360" w:charSpace="0"/>
        </w:sectPr>
      </w:pPr>
    </w:p>
    <w:p w14:paraId="469BE2B3">
      <w:pPr>
        <w:spacing w:before="240" w:after="240"/>
        <w:jc w:val="center"/>
        <w:rPr>
          <w:b/>
          <w:color w:val="auto"/>
          <w:sz w:val="28"/>
          <w:szCs w:val="28"/>
          <w:highlight w:val="none"/>
        </w:rPr>
      </w:pPr>
      <w:r>
        <w:rPr>
          <w:b/>
          <w:color w:val="auto"/>
          <w:sz w:val="28"/>
          <w:szCs w:val="28"/>
          <w:highlight w:val="none"/>
        </w:rPr>
        <w:t>供应商须知</w:t>
      </w:r>
      <w:bookmarkStart w:id="742" w:name="_GoBack"/>
      <w:bookmarkEnd w:id="742"/>
    </w:p>
    <w:p w14:paraId="161EE06B">
      <w:pPr>
        <w:pStyle w:val="196"/>
        <w:tabs>
          <w:tab w:val="center" w:pos="4592"/>
          <w:tab w:val="left" w:pos="7860"/>
        </w:tabs>
        <w:spacing w:before="0" w:line="360" w:lineRule="auto"/>
        <w:jc w:val="left"/>
        <w:rPr>
          <w:rFonts w:hint="eastAsia" w:ascii="宋体" w:hAnsi="宋体" w:eastAsia="宋体" w:cs="宋体"/>
          <w:color w:val="auto"/>
          <w:sz w:val="28"/>
          <w:highlight w:val="none"/>
        </w:rPr>
      </w:pPr>
      <w:bookmarkStart w:id="78" w:name="_Toc520356143"/>
      <w:bookmarkStart w:id="79" w:name="_Toc127151518"/>
      <w:r>
        <w:rPr>
          <w:rFonts w:hint="eastAsia" w:ascii="宋体" w:hAnsi="宋体" w:eastAsia="宋体" w:cs="宋体"/>
          <w:color w:val="auto"/>
          <w:sz w:val="28"/>
          <w:highlight w:val="none"/>
        </w:rPr>
        <w:tab/>
      </w:r>
      <w:bookmarkStart w:id="80" w:name="_Toc150774723"/>
      <w:bookmarkStart w:id="81" w:name="_Toc151193616"/>
      <w:bookmarkStart w:id="82" w:name="_Toc151193688"/>
      <w:bookmarkStart w:id="83" w:name="_Toc151193906"/>
      <w:bookmarkStart w:id="84" w:name="_Toc142311020"/>
      <w:bookmarkStart w:id="85" w:name="_Toc305158860"/>
      <w:bookmarkStart w:id="86" w:name="_Toc151193832"/>
      <w:bookmarkStart w:id="87" w:name="_Toc305158786"/>
      <w:bookmarkStart w:id="88" w:name="_Toc226337214"/>
      <w:bookmarkStart w:id="89" w:name="_Toc150480756"/>
      <w:bookmarkStart w:id="90" w:name="_Toc150509269"/>
      <w:bookmarkStart w:id="91" w:name="_Toc264969208"/>
      <w:bookmarkStart w:id="92" w:name="_Toc151190145"/>
      <w:bookmarkStart w:id="93" w:name="_Toc195842883"/>
      <w:bookmarkStart w:id="94" w:name="_Toc151193760"/>
      <w:bookmarkStart w:id="95" w:name="_Toc150774618"/>
      <w:bookmarkStart w:id="96" w:name="_Toc226965708"/>
      <w:bookmarkStart w:id="97" w:name="_Toc226965791"/>
      <w:bookmarkStart w:id="98" w:name="_Toc265228356"/>
      <w:bookmarkStart w:id="99" w:name="_Toc226309762"/>
      <w:r>
        <w:rPr>
          <w:rFonts w:hint="eastAsia" w:ascii="宋体" w:hAnsi="宋体" w:eastAsia="宋体" w:cs="宋体"/>
          <w:color w:val="auto"/>
          <w:sz w:val="28"/>
          <w:highlight w:val="none"/>
        </w:rPr>
        <w:t>一   说  明</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Pr>
          <w:rFonts w:hint="eastAsia" w:ascii="宋体" w:hAnsi="宋体" w:eastAsia="宋体" w:cs="宋体"/>
          <w:color w:val="auto"/>
          <w:sz w:val="28"/>
          <w:highlight w:val="none"/>
        </w:rPr>
        <w:tab/>
      </w:r>
    </w:p>
    <w:p w14:paraId="39A90E6B">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bookmarkStart w:id="100" w:name="_Toc305158787"/>
      <w:bookmarkStart w:id="101" w:name="_Toc264969209"/>
      <w:bookmarkStart w:id="102" w:name="_Toc305158861"/>
      <w:bookmarkStart w:id="103" w:name="_Toc265228357"/>
      <w:r>
        <w:rPr>
          <w:rFonts w:hint="eastAsia" w:ascii="宋体" w:hAnsi="宋体" w:eastAsia="宋体" w:cs="宋体"/>
          <w:b/>
          <w:bCs/>
          <w:color w:val="auto"/>
          <w:sz w:val="24"/>
          <w:szCs w:val="24"/>
          <w:highlight w:val="none"/>
          <w:lang w:val="en-US" w:eastAsia="zh-CN" w:bidi="ar-SA"/>
        </w:rPr>
        <w:t>1</w:t>
      </w:r>
      <w:r>
        <w:rPr>
          <w:rFonts w:hint="eastAsia" w:ascii="宋体" w:hAnsi="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rPr>
        <w:t>采购人、采购代理机构、供应商</w:t>
      </w:r>
      <w:bookmarkEnd w:id="100"/>
      <w:bookmarkEnd w:id="101"/>
      <w:bookmarkEnd w:id="102"/>
      <w:bookmarkEnd w:id="103"/>
      <w:r>
        <w:rPr>
          <w:rFonts w:hint="eastAsia" w:ascii="宋体" w:hAnsi="宋体" w:eastAsia="宋体" w:cs="宋体"/>
          <w:b/>
          <w:bCs/>
          <w:color w:val="auto"/>
          <w:sz w:val="24"/>
          <w:szCs w:val="24"/>
          <w:highlight w:val="none"/>
        </w:rPr>
        <w:t>、联合体</w:t>
      </w:r>
    </w:p>
    <w:p w14:paraId="58F85967">
      <w:pPr>
        <w:pageBreakBefore w:val="0"/>
        <w:widowControl w:val="0"/>
        <w:numPr>
          <w:ilvl w:val="1"/>
          <w:numId w:val="0"/>
        </w:numPr>
        <w:tabs>
          <w:tab w:val="left" w:pos="1080"/>
          <w:tab w:val="left" w:pos="2014"/>
          <w:tab w:val="left" w:pos="5521"/>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1.1</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采购人、采购代理机构：指依法进行政府采购的国家机关、事业单位、团体组织，及其委托的采购代理机构。本项目采购人、采购代理机构见第一章《采购邀请》。</w:t>
      </w:r>
    </w:p>
    <w:p w14:paraId="79E3F768">
      <w:pPr>
        <w:pageBreakBefore w:val="0"/>
        <w:widowControl w:val="0"/>
        <w:numPr>
          <w:ilvl w:val="1"/>
          <w:numId w:val="0"/>
        </w:numPr>
        <w:tabs>
          <w:tab w:val="left" w:pos="1080"/>
          <w:tab w:val="left" w:pos="2014"/>
          <w:tab w:val="left" w:pos="5521"/>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1.2</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供应商（也称“申请人”）：指向采购人提供货物、工程或者服务的法人、其他组织或者自然人。</w:t>
      </w:r>
    </w:p>
    <w:p w14:paraId="10C45867">
      <w:pPr>
        <w:pageBreakBefore w:val="0"/>
        <w:widowControl w:val="0"/>
        <w:numPr>
          <w:ilvl w:val="1"/>
          <w:numId w:val="0"/>
        </w:numPr>
        <w:tabs>
          <w:tab w:val="left" w:pos="1080"/>
          <w:tab w:val="left" w:pos="2014"/>
          <w:tab w:val="left" w:pos="5521"/>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1.3</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联合体：指两个以上的自然人、法人或者其他组织组成一个联合体，以一个供应商的身份共同参加政府采购。</w:t>
      </w:r>
    </w:p>
    <w:p w14:paraId="23F2D4DA">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color w:val="auto"/>
          <w:sz w:val="24"/>
          <w:szCs w:val="24"/>
          <w:highlight w:val="none"/>
        </w:rPr>
      </w:pPr>
      <w:bookmarkStart w:id="104" w:name="_Toc151193618"/>
      <w:bookmarkStart w:id="105" w:name="_Toc164608789"/>
      <w:bookmarkStart w:id="106" w:name="_Toc127161434"/>
      <w:bookmarkStart w:id="107" w:name="_Toc164608634"/>
      <w:bookmarkStart w:id="108" w:name="_Toc195842885"/>
      <w:bookmarkStart w:id="109" w:name="_Toc149720813"/>
      <w:bookmarkStart w:id="110" w:name="_Toc226965710"/>
      <w:bookmarkStart w:id="111" w:name="_Toc150509271"/>
      <w:bookmarkStart w:id="112" w:name="_Toc150774725"/>
      <w:bookmarkStart w:id="113" w:name="_Toc264969210"/>
      <w:bookmarkStart w:id="114" w:name="_Toc305158862"/>
      <w:bookmarkStart w:id="115" w:name="_Toc151193690"/>
      <w:bookmarkStart w:id="116" w:name="_Toc150774620"/>
      <w:bookmarkStart w:id="117" w:name="_Toc226309764"/>
      <w:bookmarkStart w:id="118" w:name="_Toc164229361"/>
      <w:bookmarkStart w:id="119" w:name="_Toc151193834"/>
      <w:bookmarkStart w:id="120" w:name="_Toc151190147"/>
      <w:bookmarkStart w:id="121" w:name="_Toc226965793"/>
      <w:bookmarkStart w:id="122" w:name="_Toc265228358"/>
      <w:bookmarkStart w:id="123" w:name="_Toc226337216"/>
      <w:bookmarkStart w:id="124" w:name="_Toc164351614"/>
      <w:bookmarkStart w:id="125" w:name="_Toc127151520"/>
      <w:bookmarkStart w:id="126" w:name="_Toc142311022"/>
      <w:bookmarkStart w:id="127" w:name="_Toc164229215"/>
      <w:bookmarkStart w:id="128" w:name="_Toc151193762"/>
      <w:bookmarkStart w:id="129" w:name="_Toc305158788"/>
      <w:bookmarkStart w:id="130" w:name="_Toc150480758"/>
      <w:bookmarkStart w:id="131" w:name="_Toc151193908"/>
      <w:bookmarkStart w:id="132" w:name="_Toc127151721"/>
      <w:r>
        <w:rPr>
          <w:rFonts w:hint="eastAsia" w:ascii="宋体" w:hAnsi="宋体" w:eastAsia="宋体" w:cs="宋体"/>
          <w:b/>
          <w:bCs/>
          <w:color w:val="auto"/>
          <w:sz w:val="24"/>
          <w:szCs w:val="24"/>
          <w:highlight w:val="none"/>
          <w:lang w:val="en-US" w:eastAsia="zh-CN" w:bidi="ar-SA"/>
        </w:rPr>
        <w:t>2</w:t>
      </w:r>
      <w:r>
        <w:rPr>
          <w:rFonts w:hint="eastAsia" w:ascii="宋体" w:hAnsi="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rPr>
        <w:t>资金来源</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Pr>
          <w:rFonts w:hint="eastAsia" w:ascii="宋体" w:hAnsi="宋体" w:eastAsia="宋体" w:cs="宋体"/>
          <w:b/>
          <w:bCs/>
          <w:color w:val="auto"/>
          <w:sz w:val="24"/>
          <w:szCs w:val="24"/>
          <w:highlight w:val="none"/>
        </w:rPr>
        <w:t>、项目属性、科研仪器设备采购</w:t>
      </w:r>
    </w:p>
    <w:p w14:paraId="6A812DA5">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2.1</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资金来源为财政性资金和/或本项目采购中无法与财政性资金分割的非财政性资金。</w:t>
      </w:r>
    </w:p>
    <w:p w14:paraId="3FD42417">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2.2</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项目属性见《供应商须知资料表》。</w:t>
      </w:r>
    </w:p>
    <w:p w14:paraId="23A49F5E">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2.3</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是否属于科研仪器设备采购见《供应商须知资料表》。</w:t>
      </w:r>
    </w:p>
    <w:p w14:paraId="59F240E0">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3</w:t>
      </w:r>
      <w:r>
        <w:rPr>
          <w:rFonts w:hint="eastAsia" w:ascii="宋体" w:hAnsi="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rPr>
        <w:t>现场考察、磋商前答疑会</w:t>
      </w:r>
    </w:p>
    <w:p w14:paraId="24BDCBF2">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3.1</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若《供应商须知资料表》中规定了组织现场考察、召开磋商前答疑会，则供应商应按要求在规定的时间和地点参加。</w:t>
      </w:r>
      <w:bookmarkStart w:id="133" w:name="_Toc127151522"/>
      <w:bookmarkStart w:id="134" w:name="_Toc226337218"/>
      <w:bookmarkStart w:id="135" w:name="_Toc151193692"/>
      <w:bookmarkStart w:id="136" w:name="_Toc264969212"/>
      <w:bookmarkStart w:id="137" w:name="_Toc150774727"/>
      <w:bookmarkStart w:id="138" w:name="_Toc151193620"/>
      <w:bookmarkStart w:id="139" w:name="_Toc195842887"/>
      <w:bookmarkStart w:id="140" w:name="_Toc151193764"/>
      <w:bookmarkStart w:id="141" w:name="_Toc151193836"/>
      <w:bookmarkStart w:id="142" w:name="_Toc520356146"/>
      <w:bookmarkStart w:id="143" w:name="_Toc150774622"/>
      <w:bookmarkStart w:id="144" w:name="_Toc226309766"/>
      <w:bookmarkStart w:id="145" w:name="_Toc151193910"/>
      <w:bookmarkStart w:id="146" w:name="_Toc226965795"/>
      <w:bookmarkStart w:id="147" w:name="_Toc150509273"/>
      <w:bookmarkStart w:id="148" w:name="_Toc305158790"/>
      <w:bookmarkStart w:id="149" w:name="_Toc265228360"/>
      <w:bookmarkStart w:id="150" w:name="_Toc151190149"/>
      <w:bookmarkStart w:id="151" w:name="_Toc226965712"/>
      <w:bookmarkStart w:id="152" w:name="_Toc142311024"/>
      <w:bookmarkStart w:id="153" w:name="_Toc150480760"/>
      <w:bookmarkStart w:id="154" w:name="_Toc305158864"/>
    </w:p>
    <w:p w14:paraId="5CC2C709">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3.2</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由于未参加现场考察或磋商前答疑会而导致对项目实际情况不了解，影响响应文件编制、报价准确性、综合因素响应不全面等问题的，由供应商自行承担不利评审后果。</w:t>
      </w:r>
    </w:p>
    <w:p w14:paraId="7F5AE2DA">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4</w:t>
      </w:r>
      <w:r>
        <w:rPr>
          <w:rFonts w:hint="eastAsia" w:ascii="宋体" w:hAnsi="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rPr>
        <w:t>政府采购政策（包括但不限于下列具体政策要求）</w:t>
      </w:r>
    </w:p>
    <w:p w14:paraId="1CC1F018">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4.1</w:t>
      </w:r>
      <w:r>
        <w:rPr>
          <w:rFonts w:hint="eastAsia" w:ascii="宋体" w:hAnsi="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rPr>
        <w:t>进口产品</w:t>
      </w:r>
    </w:p>
    <w:p w14:paraId="50EA68A4">
      <w:pPr>
        <w:pageBreakBefore w:val="0"/>
        <w:widowControl w:val="0"/>
        <w:numPr>
          <w:ilvl w:val="2"/>
          <w:numId w:val="0"/>
        </w:numPr>
        <w:tabs>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4.1.1</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4B7AB00">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4.2</w:t>
      </w:r>
      <w:r>
        <w:rPr>
          <w:rFonts w:hint="eastAsia" w:ascii="宋体" w:hAnsi="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rPr>
        <w:t>中小企业、监狱企业及残疾人福利性单位</w:t>
      </w:r>
    </w:p>
    <w:p w14:paraId="49810C58">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4.2.1</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中小企业定义：</w:t>
      </w:r>
    </w:p>
    <w:p w14:paraId="6CE0CD21">
      <w:pPr>
        <w:pStyle w:val="281"/>
        <w:pageBreakBefore w:val="0"/>
        <w:widowControl w:val="0"/>
        <w:numPr>
          <w:ilvl w:val="0"/>
          <w:numId w:val="0"/>
        </w:numPr>
        <w:tabs>
          <w:tab w:val="left" w:pos="1980"/>
          <w:tab w:val="left" w:pos="2035"/>
          <w:tab w:val="left" w:pos="2977"/>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lang w:val="en-US" w:eastAsia="zh-CN" w:bidi="ar-SA"/>
        </w:rPr>
        <w:t>1</w:t>
      </w:r>
    </w:p>
    <w:p w14:paraId="620C3B62">
      <w:pPr>
        <w:pStyle w:val="281"/>
        <w:pageBreakBefore w:val="0"/>
        <w:widowControl w:val="0"/>
        <w:numPr>
          <w:ilvl w:val="0"/>
          <w:numId w:val="0"/>
        </w:numPr>
        <w:tabs>
          <w:tab w:val="left" w:pos="1980"/>
          <w:tab w:val="left" w:pos="2035"/>
          <w:tab w:val="left" w:pos="2977"/>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lang w:val="en-US" w:eastAsia="zh-CN" w:bidi="ar-SA"/>
        </w:rPr>
        <w:t>2</w:t>
      </w:r>
    </w:p>
    <w:p w14:paraId="3CA9C46C">
      <w:pPr>
        <w:pStyle w:val="281"/>
        <w:pageBreakBefore w:val="0"/>
        <w:widowControl w:val="0"/>
        <w:numPr>
          <w:ilvl w:val="0"/>
          <w:numId w:val="0"/>
        </w:numPr>
        <w:tabs>
          <w:tab w:val="left" w:pos="1980"/>
          <w:tab w:val="left" w:pos="2035"/>
          <w:tab w:val="left" w:pos="2977"/>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lang w:val="en-US" w:eastAsia="zh-CN" w:bidi="ar-SA"/>
        </w:rPr>
        <w:t>3</w:t>
      </w:r>
    </w:p>
    <w:p w14:paraId="22CBBCDE">
      <w:pPr>
        <w:pStyle w:val="281"/>
        <w:pageBreakBefore w:val="0"/>
        <w:widowControl w:val="0"/>
        <w:numPr>
          <w:ilvl w:val="0"/>
          <w:numId w:val="0"/>
        </w:numPr>
        <w:tabs>
          <w:tab w:val="left" w:pos="1980"/>
          <w:tab w:val="left" w:pos="2035"/>
          <w:tab w:val="left" w:pos="2977"/>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lang w:val="en-US" w:eastAsia="zh-CN" w:bidi="ar-SA"/>
        </w:rPr>
        <w:t>4</w:t>
      </w:r>
    </w:p>
    <w:p w14:paraId="5DCA338C">
      <w:pPr>
        <w:pStyle w:val="281"/>
        <w:pageBreakBefore w:val="0"/>
        <w:widowControl w:val="0"/>
        <w:numPr>
          <w:ilvl w:val="1"/>
          <w:numId w:val="0"/>
        </w:numPr>
        <w:tabs>
          <w:tab w:val="left" w:pos="1980"/>
          <w:tab w:val="left" w:pos="2035"/>
          <w:tab w:val="left" w:pos="2977"/>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vanish/>
          <w:color w:val="auto"/>
          <w:sz w:val="24"/>
          <w:szCs w:val="24"/>
          <w:highlight w:val="none"/>
        </w:rPr>
      </w:pPr>
      <w:r>
        <w:rPr>
          <w:rFonts w:hint="eastAsia" w:ascii="Times New Roman" w:hAnsi="Times New Roman" w:eastAsia="宋体" w:cs="Times New Roman"/>
          <w:vanish/>
          <w:color w:val="auto"/>
          <w:sz w:val="24"/>
          <w:szCs w:val="24"/>
          <w:highlight w:val="none"/>
          <w:lang w:val="en-US" w:eastAsia="zh-CN" w:bidi="ar-SA"/>
        </w:rPr>
        <w:t>4.1</w:t>
      </w:r>
    </w:p>
    <w:p w14:paraId="61E2C3CA">
      <w:pPr>
        <w:pStyle w:val="281"/>
        <w:pageBreakBefore w:val="0"/>
        <w:widowControl w:val="0"/>
        <w:numPr>
          <w:ilvl w:val="1"/>
          <w:numId w:val="0"/>
        </w:numPr>
        <w:tabs>
          <w:tab w:val="left" w:pos="1980"/>
          <w:tab w:val="left" w:pos="2035"/>
          <w:tab w:val="left" w:pos="2977"/>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vanish/>
          <w:color w:val="auto"/>
          <w:sz w:val="24"/>
          <w:szCs w:val="24"/>
          <w:highlight w:val="none"/>
        </w:rPr>
      </w:pPr>
      <w:r>
        <w:rPr>
          <w:rFonts w:hint="eastAsia" w:ascii="Times New Roman" w:hAnsi="Times New Roman" w:eastAsia="宋体" w:cs="Times New Roman"/>
          <w:vanish/>
          <w:color w:val="auto"/>
          <w:sz w:val="24"/>
          <w:szCs w:val="24"/>
          <w:highlight w:val="none"/>
          <w:lang w:val="en-US" w:eastAsia="zh-CN" w:bidi="ar-SA"/>
        </w:rPr>
        <w:t>4.2</w:t>
      </w:r>
    </w:p>
    <w:p w14:paraId="66B090E5">
      <w:pPr>
        <w:pStyle w:val="281"/>
        <w:pageBreakBefore w:val="0"/>
        <w:widowControl w:val="0"/>
        <w:numPr>
          <w:ilvl w:val="2"/>
          <w:numId w:val="0"/>
        </w:numPr>
        <w:tabs>
          <w:tab w:val="left" w:pos="2035"/>
          <w:tab w:val="left" w:pos="2977"/>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lang w:val="en-US" w:eastAsia="zh-CN" w:bidi="ar-SA"/>
        </w:rPr>
        <w:t>4.2.1</w:t>
      </w:r>
    </w:p>
    <w:p w14:paraId="2C34294E">
      <w:pPr>
        <w:pageBreakBefore w:val="0"/>
        <w:widowControl w:val="0"/>
        <w:numPr>
          <w:ilvl w:val="3"/>
          <w:numId w:val="0"/>
        </w:numPr>
        <w:tabs>
          <w:tab w:val="left" w:pos="1980"/>
          <w:tab w:val="left" w:pos="2035"/>
          <w:tab w:val="left" w:pos="2885"/>
          <w:tab w:val="left" w:pos="2977"/>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4.2.1.1</w:t>
      </w: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30241E8">
      <w:pPr>
        <w:pageBreakBefore w:val="0"/>
        <w:widowControl w:val="0"/>
        <w:numPr>
          <w:ilvl w:val="3"/>
          <w:numId w:val="0"/>
        </w:numPr>
        <w:tabs>
          <w:tab w:val="left" w:pos="1980"/>
          <w:tab w:val="left" w:pos="2035"/>
          <w:tab w:val="left" w:pos="2885"/>
          <w:tab w:val="left" w:pos="2977"/>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4.2.1.2</w:t>
      </w:r>
      <w:r>
        <w:rPr>
          <w:rFonts w:hint="eastAsia" w:ascii="宋体" w:hAnsi="宋体" w:eastAsia="宋体" w:cs="宋体"/>
          <w:color w:val="auto"/>
          <w:sz w:val="24"/>
          <w:szCs w:val="24"/>
          <w:highlight w:val="none"/>
        </w:rPr>
        <w:t>供应商提供的货物、工程或者服务符合下列情形的，享受中小企业扶持政策：</w:t>
      </w:r>
    </w:p>
    <w:p w14:paraId="3FAA3DDF">
      <w:pPr>
        <w:pageBreakBefore w:val="0"/>
        <w:widowControl w:val="0"/>
        <w:tabs>
          <w:tab w:val="left" w:pos="198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（1）在货物采购项目中，货物由中小企业制造，即货物由中小企业生产且使用该中小企业商号或者注册商标；</w:t>
      </w:r>
    </w:p>
    <w:p w14:paraId="164F40C8">
      <w:pPr>
        <w:pageBreakBefore w:val="0"/>
        <w:widowControl w:val="0"/>
        <w:tabs>
          <w:tab w:val="left" w:pos="198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（2）在工程采购项目中，工程由中小企业承建，即工程施工单位为中小企业；</w:t>
      </w:r>
    </w:p>
    <w:p w14:paraId="7516215E">
      <w:pPr>
        <w:pageBreakBefore w:val="0"/>
        <w:widowControl w:val="0"/>
        <w:tabs>
          <w:tab w:val="left" w:pos="198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（3）在服务采购项目中，服务由中小企业承接，即提供服务的人员为中小企业依照《中华人民共和国劳动合同法》订立劳动合同的从业人员。</w:t>
      </w:r>
    </w:p>
    <w:p w14:paraId="60A11E65">
      <w:pPr>
        <w:pageBreakBefore w:val="0"/>
        <w:widowControl w:val="0"/>
        <w:numPr>
          <w:ilvl w:val="3"/>
          <w:numId w:val="0"/>
        </w:numPr>
        <w:tabs>
          <w:tab w:val="left" w:pos="1980"/>
          <w:tab w:val="left" w:pos="2035"/>
          <w:tab w:val="left" w:pos="2885"/>
          <w:tab w:val="left" w:pos="2977"/>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4.2.1.3</w:t>
      </w:r>
      <w:r>
        <w:rPr>
          <w:rFonts w:hint="eastAsia" w:ascii="宋体" w:hAnsi="宋体" w:eastAsia="宋体" w:cs="宋体"/>
          <w:color w:val="auto"/>
          <w:sz w:val="24"/>
          <w:szCs w:val="24"/>
          <w:highlight w:val="none"/>
        </w:rPr>
        <w:t>在货物采购项目中，供应商提供的货物既有中小企业制造货物，也有大型企业制造货物的，不享受中小企业扶持政策。</w:t>
      </w:r>
    </w:p>
    <w:p w14:paraId="6157C50F">
      <w:pPr>
        <w:pageBreakBefore w:val="0"/>
        <w:widowControl w:val="0"/>
        <w:numPr>
          <w:ilvl w:val="3"/>
          <w:numId w:val="0"/>
        </w:numPr>
        <w:tabs>
          <w:tab w:val="left" w:pos="1980"/>
          <w:tab w:val="left" w:pos="2035"/>
          <w:tab w:val="left" w:pos="2885"/>
          <w:tab w:val="left" w:pos="2977"/>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4.2.1.4</w:t>
      </w:r>
      <w:r>
        <w:rPr>
          <w:rFonts w:hint="eastAsia" w:ascii="宋体" w:hAnsi="宋体" w:eastAsia="宋体" w:cs="宋体"/>
          <w:color w:val="auto"/>
          <w:sz w:val="24"/>
          <w:szCs w:val="24"/>
          <w:highlight w:val="none"/>
        </w:rPr>
        <w:t>以联合体形式参加政府采购活动，联合体各方均为中小企业的，联合体视同中小企业。其中，联合体各方均为小微企业的，联合体视同小微企业。</w:t>
      </w:r>
    </w:p>
    <w:p w14:paraId="4A525169">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4.2.2</w:t>
      </w:r>
      <w:r>
        <w:rPr>
          <w:rFonts w:hint="eastAsia" w:ascii="宋体" w:hAnsi="宋体" w:eastAsia="宋体" w:cs="宋体"/>
          <w:color w:val="auto"/>
          <w:sz w:val="24"/>
          <w:szCs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E47E4EE">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4.2.3</w:t>
      </w:r>
      <w:r>
        <w:rPr>
          <w:rFonts w:hint="eastAsia" w:ascii="宋体" w:hAnsi="宋体" w:eastAsia="宋体" w:cs="宋体"/>
          <w:color w:val="auto"/>
          <w:sz w:val="24"/>
          <w:szCs w:val="24"/>
          <w:highlight w:val="none"/>
        </w:rPr>
        <w:t>残疾人福利单位定义：享受政府采购支持政策的残疾人福利性单位应当同时满足以下条件：</w:t>
      </w:r>
    </w:p>
    <w:p w14:paraId="0AA950C2">
      <w:pPr>
        <w:pStyle w:val="281"/>
        <w:pageBreakBefore w:val="0"/>
        <w:widowControl w:val="0"/>
        <w:numPr>
          <w:ilvl w:val="2"/>
          <w:numId w:val="0"/>
        </w:numPr>
        <w:tabs>
          <w:tab w:val="left" w:pos="2035"/>
          <w:tab w:val="left" w:pos="2977"/>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lang w:val="en-US" w:eastAsia="zh-CN" w:bidi="ar-SA"/>
        </w:rPr>
        <w:t>4.2.2</w:t>
      </w:r>
    </w:p>
    <w:p w14:paraId="2C814D74">
      <w:pPr>
        <w:pStyle w:val="281"/>
        <w:pageBreakBefore w:val="0"/>
        <w:widowControl w:val="0"/>
        <w:numPr>
          <w:ilvl w:val="2"/>
          <w:numId w:val="0"/>
        </w:numPr>
        <w:tabs>
          <w:tab w:val="left" w:pos="2035"/>
          <w:tab w:val="left" w:pos="2977"/>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lang w:val="en-US" w:eastAsia="zh-CN" w:bidi="ar-SA"/>
        </w:rPr>
        <w:t>4.2.3</w:t>
      </w:r>
    </w:p>
    <w:p w14:paraId="22895E41">
      <w:pPr>
        <w:pageBreakBefore w:val="0"/>
        <w:widowControl w:val="0"/>
        <w:numPr>
          <w:ilvl w:val="3"/>
          <w:numId w:val="0"/>
        </w:numPr>
        <w:tabs>
          <w:tab w:val="left" w:pos="1980"/>
          <w:tab w:val="left" w:pos="2035"/>
          <w:tab w:val="left" w:pos="2885"/>
          <w:tab w:val="left" w:pos="2977"/>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4.2.3.1</w:t>
      </w:r>
      <w:r>
        <w:rPr>
          <w:rFonts w:hint="eastAsia" w:ascii="宋体" w:hAnsi="宋体" w:eastAsia="宋体" w:cs="宋体"/>
          <w:color w:val="auto"/>
          <w:sz w:val="24"/>
          <w:szCs w:val="24"/>
          <w:highlight w:val="none"/>
        </w:rPr>
        <w:t>安置的残疾人占本单位在职职工人数的比例不低于25%（含25%），并且安置的残疾人人数不少于10 人（含10 人）；</w:t>
      </w:r>
    </w:p>
    <w:p w14:paraId="0B6B01DF">
      <w:pPr>
        <w:pageBreakBefore w:val="0"/>
        <w:widowControl w:val="0"/>
        <w:numPr>
          <w:ilvl w:val="3"/>
          <w:numId w:val="0"/>
        </w:numPr>
        <w:tabs>
          <w:tab w:val="left" w:pos="1980"/>
          <w:tab w:val="left" w:pos="2035"/>
          <w:tab w:val="left" w:pos="2885"/>
          <w:tab w:val="left" w:pos="2977"/>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4.2.3.2</w:t>
      </w:r>
      <w:r>
        <w:rPr>
          <w:rFonts w:hint="eastAsia" w:ascii="宋体" w:hAnsi="宋体" w:eastAsia="宋体" w:cs="宋体"/>
          <w:color w:val="auto"/>
          <w:sz w:val="24"/>
          <w:szCs w:val="24"/>
          <w:highlight w:val="none"/>
        </w:rPr>
        <w:t>依法与安置的每位残疾人签订了一年以上（含一年）的劳动合同或服务协议；</w:t>
      </w:r>
    </w:p>
    <w:p w14:paraId="33A323F8">
      <w:pPr>
        <w:pageBreakBefore w:val="0"/>
        <w:widowControl w:val="0"/>
        <w:numPr>
          <w:ilvl w:val="3"/>
          <w:numId w:val="0"/>
        </w:numPr>
        <w:tabs>
          <w:tab w:val="left" w:pos="1980"/>
          <w:tab w:val="left" w:pos="2035"/>
          <w:tab w:val="left" w:pos="2885"/>
          <w:tab w:val="left" w:pos="2977"/>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4.2.3.3</w:t>
      </w:r>
      <w:r>
        <w:rPr>
          <w:rFonts w:hint="eastAsia" w:ascii="宋体" w:hAnsi="宋体" w:eastAsia="宋体" w:cs="宋体"/>
          <w:color w:val="auto"/>
          <w:sz w:val="24"/>
          <w:szCs w:val="24"/>
          <w:highlight w:val="none"/>
        </w:rPr>
        <w:t>为安置的每位残疾人按月足额缴纳了基本养老保险、基本医疗保险、失业保险、工伤保险和生育保险等社会保险费；</w:t>
      </w:r>
    </w:p>
    <w:p w14:paraId="101D60D3">
      <w:pPr>
        <w:pageBreakBefore w:val="0"/>
        <w:widowControl w:val="0"/>
        <w:numPr>
          <w:ilvl w:val="3"/>
          <w:numId w:val="0"/>
        </w:numPr>
        <w:tabs>
          <w:tab w:val="left" w:pos="1980"/>
          <w:tab w:val="left" w:pos="2035"/>
          <w:tab w:val="left" w:pos="2885"/>
          <w:tab w:val="left" w:pos="2977"/>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4.2.3.4</w:t>
      </w:r>
      <w:r>
        <w:rPr>
          <w:rFonts w:hint="eastAsia" w:ascii="宋体" w:hAnsi="宋体" w:eastAsia="宋体" w:cs="宋体"/>
          <w:color w:val="auto"/>
          <w:sz w:val="24"/>
          <w:szCs w:val="24"/>
          <w:highlight w:val="none"/>
        </w:rPr>
        <w:t>通过银行等金融机构向安置的每位残疾人，按月支付了不低于单位所在区县适用的经省级人民政府批准的月最低工资标准的工资；</w:t>
      </w:r>
    </w:p>
    <w:p w14:paraId="7260D1D3">
      <w:pPr>
        <w:pageBreakBefore w:val="0"/>
        <w:widowControl w:val="0"/>
        <w:numPr>
          <w:ilvl w:val="3"/>
          <w:numId w:val="0"/>
        </w:numPr>
        <w:tabs>
          <w:tab w:val="left" w:pos="1980"/>
          <w:tab w:val="left" w:pos="2035"/>
          <w:tab w:val="left" w:pos="2885"/>
          <w:tab w:val="left" w:pos="2977"/>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4.2.3.5</w:t>
      </w:r>
      <w:r>
        <w:rPr>
          <w:rFonts w:hint="eastAsia" w:ascii="宋体" w:hAnsi="宋体" w:eastAsia="宋体" w:cs="宋体"/>
          <w:color w:val="auto"/>
          <w:sz w:val="24"/>
          <w:szCs w:val="24"/>
          <w:highlight w:val="none"/>
        </w:rPr>
        <w:t>提供本单位制造的货物、承担的工程或者服务（以下简称产品），或者提供其他残疾人福利性单位制造的货物（不包括使用非残疾人福利性单位注册商标的货物）；</w:t>
      </w:r>
    </w:p>
    <w:p w14:paraId="1F5F6540">
      <w:pPr>
        <w:pageBreakBefore w:val="0"/>
        <w:widowControl w:val="0"/>
        <w:numPr>
          <w:ilvl w:val="3"/>
          <w:numId w:val="0"/>
        </w:numPr>
        <w:tabs>
          <w:tab w:val="left" w:pos="1980"/>
          <w:tab w:val="left" w:pos="2035"/>
          <w:tab w:val="left" w:pos="2885"/>
          <w:tab w:val="left" w:pos="2977"/>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4.2.3.6</w:t>
      </w: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96782BB">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4.2.4</w:t>
      </w:r>
      <w:r>
        <w:rPr>
          <w:rFonts w:hint="eastAsia" w:ascii="宋体" w:hAnsi="宋体" w:eastAsia="宋体" w:cs="宋体"/>
          <w:color w:val="auto"/>
          <w:sz w:val="24"/>
          <w:szCs w:val="24"/>
          <w:highlight w:val="none"/>
        </w:rPr>
        <w:t>本项目是否专门面向中小企业预留采购份额见第一章《采购邀请》。</w:t>
      </w:r>
    </w:p>
    <w:p w14:paraId="43D4A773">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4.2.5</w:t>
      </w:r>
      <w:r>
        <w:rPr>
          <w:rFonts w:hint="eastAsia" w:ascii="宋体" w:hAnsi="宋体" w:eastAsia="宋体" w:cs="宋体"/>
          <w:color w:val="auto"/>
          <w:sz w:val="24"/>
          <w:szCs w:val="24"/>
          <w:highlight w:val="none"/>
        </w:rPr>
        <w:t>采购标的对应的中小企业划分标准所属行业见《供应商须知资料表》。</w:t>
      </w:r>
    </w:p>
    <w:p w14:paraId="19C165A0">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4.2.6</w:t>
      </w:r>
      <w:r>
        <w:rPr>
          <w:rFonts w:hint="eastAsia" w:ascii="宋体" w:hAnsi="宋体" w:eastAsia="宋体" w:cs="宋体"/>
          <w:color w:val="auto"/>
          <w:sz w:val="24"/>
          <w:szCs w:val="24"/>
          <w:highlight w:val="none"/>
        </w:rPr>
        <w:t>小微企业价格评审优惠的政策调整：见第三章《评审方法和评审标准》。</w:t>
      </w:r>
    </w:p>
    <w:p w14:paraId="19BEF47F">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4.3</w:t>
      </w:r>
      <w:r>
        <w:rPr>
          <w:rFonts w:hint="eastAsia" w:ascii="宋体" w:hAnsi="宋体" w:eastAsia="宋体" w:cs="宋体"/>
          <w:b/>
          <w:bCs/>
          <w:color w:val="auto"/>
          <w:sz w:val="24"/>
          <w:szCs w:val="24"/>
          <w:highlight w:val="none"/>
        </w:rPr>
        <w:t>政府采购节能产品、环境标志产品</w:t>
      </w:r>
    </w:p>
    <w:p w14:paraId="7D45EB89">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4.3.1</w:t>
      </w:r>
      <w:r>
        <w:rPr>
          <w:rFonts w:hint="eastAsia" w:ascii="宋体" w:hAnsi="宋体" w:eastAsia="宋体" w:cs="宋体"/>
          <w:color w:val="auto"/>
          <w:sz w:val="24"/>
          <w:szCs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46C1929">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4.3.2</w:t>
      </w:r>
      <w:r>
        <w:rPr>
          <w:rFonts w:hint="eastAsia" w:ascii="宋体" w:hAnsi="宋体" w:eastAsia="宋体" w:cs="宋体"/>
          <w:color w:val="auto"/>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0D49D40">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4.3.3</w:t>
      </w:r>
      <w:r>
        <w:rPr>
          <w:rFonts w:hint="eastAsia" w:ascii="宋体" w:hAnsi="宋体" w:eastAsia="宋体" w:cs="宋体"/>
          <w:color w:val="auto"/>
          <w:sz w:val="24"/>
          <w:szCs w:val="24"/>
          <w:highlight w:val="none"/>
        </w:rPr>
        <w:t>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color w:val="auto"/>
          <w:sz w:val="24"/>
          <w:szCs w:val="24"/>
          <w:highlight w:val="none"/>
        </w:rPr>
        <w:t>响应无效</w:t>
      </w:r>
      <w:r>
        <w:rPr>
          <w:rFonts w:hint="eastAsia" w:ascii="宋体" w:hAnsi="宋体" w:eastAsia="宋体" w:cs="宋体"/>
          <w:color w:val="auto"/>
          <w:sz w:val="24"/>
          <w:szCs w:val="24"/>
          <w:highlight w:val="none"/>
        </w:rPr>
        <w:t>；</w:t>
      </w:r>
    </w:p>
    <w:p w14:paraId="77141454">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4.3.4</w:t>
      </w:r>
      <w:r>
        <w:rPr>
          <w:rFonts w:hint="eastAsia" w:ascii="宋体" w:hAnsi="宋体" w:eastAsia="宋体" w:cs="宋体"/>
          <w:color w:val="auto"/>
          <w:sz w:val="24"/>
          <w:szCs w:val="24"/>
          <w:highlight w:val="none"/>
        </w:rPr>
        <w:t>非政府强制采购的节能产品或环境标志产品，依据品目清单和认证证书实施政府优先采购。优先采购的具体规定见第三章《评审方法和评审标准》（如涉及）。</w:t>
      </w:r>
    </w:p>
    <w:p w14:paraId="78D0BF8B">
      <w:pPr>
        <w:pageBreakBefore w:val="0"/>
        <w:widowControl w:val="0"/>
        <w:numPr>
          <w:ilvl w:val="2"/>
          <w:numId w:val="0"/>
        </w:numPr>
        <w:tabs>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4.3.5</w:t>
      </w:r>
      <w:r>
        <w:rPr>
          <w:rFonts w:hint="eastAsia" w:ascii="宋体" w:hAnsi="宋体" w:eastAsia="宋体" w:cs="宋体"/>
          <w:color w:val="auto"/>
          <w:sz w:val="24"/>
          <w:szCs w:val="24"/>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182ACF0">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4.4</w:t>
      </w:r>
      <w:r>
        <w:rPr>
          <w:rFonts w:hint="eastAsia" w:ascii="宋体" w:hAnsi="宋体" w:eastAsia="宋体" w:cs="宋体"/>
          <w:b/>
          <w:bCs/>
          <w:color w:val="auto"/>
          <w:sz w:val="24"/>
          <w:szCs w:val="24"/>
          <w:highlight w:val="none"/>
        </w:rPr>
        <w:t>支持乡村产业振兴管理</w:t>
      </w:r>
    </w:p>
    <w:p w14:paraId="5A855390">
      <w:pPr>
        <w:pageBreakBefore w:val="0"/>
        <w:widowControl w:val="0"/>
        <w:numPr>
          <w:ilvl w:val="2"/>
          <w:numId w:val="0"/>
        </w:numPr>
        <w:tabs>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4.4.1</w:t>
      </w:r>
      <w:r>
        <w:rPr>
          <w:rFonts w:hint="eastAsia" w:ascii="宋体" w:hAnsi="宋体" w:eastAsia="宋体" w:cs="宋体"/>
          <w:color w:val="auto"/>
          <w:sz w:val="24"/>
          <w:szCs w:val="24"/>
          <w:highlight w:val="none"/>
        </w:rPr>
        <w:t>为落实《关于运用政府采购政策支持乡村产业振兴的通知》（财库〔2021〕19号）有关要求，做好支持脱贫攻坚工作，本项目采购活动中对于支持乡村振兴管理的相关要求见第四章《采购需求》（如涉及）。</w:t>
      </w:r>
    </w:p>
    <w:p w14:paraId="6E0CF606">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4.5</w:t>
      </w:r>
      <w:r>
        <w:rPr>
          <w:rFonts w:hint="eastAsia" w:ascii="宋体" w:hAnsi="宋体" w:eastAsia="宋体" w:cs="宋体"/>
          <w:b/>
          <w:bCs/>
          <w:color w:val="auto"/>
          <w:sz w:val="24"/>
          <w:szCs w:val="24"/>
          <w:highlight w:val="none"/>
        </w:rPr>
        <w:t>正版软件</w:t>
      </w:r>
    </w:p>
    <w:p w14:paraId="4A7A9CD0">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4.5.1</w:t>
      </w:r>
      <w:r>
        <w:rPr>
          <w:rFonts w:hint="eastAsia" w:ascii="宋体" w:hAnsi="宋体" w:eastAsia="宋体" w:cs="宋体"/>
          <w:color w:val="auto"/>
          <w:sz w:val="24"/>
          <w:szCs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color w:val="auto"/>
          <w:sz w:val="24"/>
          <w:szCs w:val="24"/>
          <w:highlight w:val="none"/>
        </w:rPr>
        <w:t>响应无效</w:t>
      </w:r>
      <w:r>
        <w:rPr>
          <w:rFonts w:hint="eastAsia" w:ascii="宋体" w:hAnsi="宋体" w:eastAsia="宋体" w:cs="宋体"/>
          <w:color w:val="auto"/>
          <w:sz w:val="24"/>
          <w:szCs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B2338EF">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4.5.2</w:t>
      </w:r>
      <w:r>
        <w:rPr>
          <w:rFonts w:hint="eastAsia" w:ascii="宋体" w:hAnsi="宋体" w:eastAsia="宋体" w:cs="宋体"/>
          <w:color w:val="auto"/>
          <w:sz w:val="24"/>
          <w:szCs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948A47D">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4.6</w:t>
      </w:r>
      <w:r>
        <w:rPr>
          <w:rFonts w:hint="eastAsia" w:ascii="宋体" w:hAnsi="宋体" w:eastAsia="宋体" w:cs="宋体"/>
          <w:b/>
          <w:bCs/>
          <w:color w:val="auto"/>
          <w:sz w:val="24"/>
          <w:szCs w:val="24"/>
          <w:highlight w:val="none"/>
        </w:rPr>
        <w:t>政府采购创新产品政策</w:t>
      </w:r>
    </w:p>
    <w:p w14:paraId="7A0B6C38">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4.6.1</w:t>
      </w:r>
      <w:r>
        <w:rPr>
          <w:rFonts w:hint="eastAsia" w:ascii="宋体" w:hAnsi="宋体" w:eastAsia="宋体" w:cs="宋体"/>
          <w:color w:val="auto"/>
          <w:sz w:val="24"/>
          <w:szCs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670A0A3C">
      <w:pPr>
        <w:pageBreakBefore w:val="0"/>
        <w:widowControl w:val="0"/>
        <w:kinsoku/>
        <w:wordWrap/>
        <w:overflowPunct/>
        <w:topLinePunct w:val="0"/>
        <w:autoSpaceDE/>
        <w:autoSpaceDN/>
        <w:bidi w:val="0"/>
        <w:adjustRightInd/>
        <w:spacing w:line="360" w:lineRule="auto"/>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4.7 绿色采购政策</w:t>
      </w:r>
    </w:p>
    <w:p w14:paraId="0EA4CB0C">
      <w:pPr>
        <w:pageBreakBefore w:val="0"/>
        <w:widowControl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4.7.1 绿色数据中心政策 </w:t>
      </w:r>
    </w:p>
    <w:p w14:paraId="586F2914">
      <w:pPr>
        <w:pageBreakBefore w:val="0"/>
        <w:widowControl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BE1C8F8">
      <w:pPr>
        <w:pageBreakBefore w:val="0"/>
        <w:widowControl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4.7.2 推广应用绿色建材</w:t>
      </w:r>
    </w:p>
    <w:p w14:paraId="22903FE1">
      <w:pPr>
        <w:pageBreakBefore w:val="0"/>
        <w:widowControl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2C81D88D">
      <w:pPr>
        <w:pageBreakBefore w:val="0"/>
        <w:widowControl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4.7.3 优先使用低挥发性有机化合物产品</w:t>
      </w:r>
    </w:p>
    <w:p w14:paraId="0158CA68">
      <w:pPr>
        <w:pageBreakBefore w:val="0"/>
        <w:widowControl w:val="0"/>
        <w:tabs>
          <w:tab w:val="left" w:pos="1080"/>
          <w:tab w:val="left" w:pos="1589"/>
          <w:tab w:val="left" w:pos="1731"/>
          <w:tab w:val="left" w:pos="1873"/>
          <w:tab w:val="left" w:pos="2014"/>
          <w:tab w:val="left" w:pos="4445"/>
        </w:tabs>
        <w:kinsoku/>
        <w:wordWrap/>
        <w:overflowPunct/>
        <w:topLinePunct w:val="0"/>
        <w:autoSpaceDE/>
        <w:autoSpaceDN/>
        <w:bidi w:val="0"/>
        <w:adjustRightInd/>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13F456F2">
      <w:pPr>
        <w:pageBreakBefore w:val="0"/>
        <w:widowControl w:val="0"/>
        <w:tabs>
          <w:tab w:val="left" w:pos="1080"/>
          <w:tab w:val="left" w:pos="1589"/>
          <w:tab w:val="left" w:pos="1731"/>
          <w:tab w:val="left" w:pos="1873"/>
          <w:tab w:val="left" w:pos="2014"/>
          <w:tab w:val="left" w:pos="4445"/>
        </w:tabs>
        <w:kinsoku/>
        <w:wordWrap/>
        <w:overflowPunct/>
        <w:topLinePunct w:val="0"/>
        <w:autoSpaceDE/>
        <w:autoSpaceDN/>
        <w:bidi w:val="0"/>
        <w:adjustRightInd/>
        <w:snapToGrid w:val="0"/>
        <w:spacing w:line="360" w:lineRule="auto"/>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4.8履约保证金相关政策</w:t>
      </w:r>
    </w:p>
    <w:p w14:paraId="6A0FA470">
      <w:pPr>
        <w:pageBreakBefore w:val="0"/>
        <w:widowControl w:val="0"/>
        <w:tabs>
          <w:tab w:val="left" w:pos="2014"/>
        </w:tabs>
        <w:kinsoku/>
        <w:wordWrap/>
        <w:overflowPunct/>
        <w:topLinePunct w:val="0"/>
        <w:autoSpaceDE/>
        <w:autoSpaceDN/>
        <w:bidi w:val="0"/>
        <w:adjustRightInd/>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4.8.1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7524479B">
      <w:pPr>
        <w:pageBreakBefore w:val="0"/>
        <w:widowControl w:val="0"/>
        <w:tabs>
          <w:tab w:val="left" w:pos="2014"/>
        </w:tabs>
        <w:kinsoku/>
        <w:wordWrap/>
        <w:overflowPunct/>
        <w:topLinePunct w:val="0"/>
        <w:autoSpaceDE/>
        <w:autoSpaceDN/>
        <w:bidi w:val="0"/>
        <w:adjustRightInd/>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4.8.2电子履约保函（保险）办理业务流程：江苏省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0E4F7960">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5</w:t>
      </w:r>
      <w:r>
        <w:rPr>
          <w:rFonts w:hint="eastAsia" w:ascii="宋体" w:hAnsi="宋体" w:eastAsia="宋体" w:cs="宋体"/>
          <w:b/>
          <w:bCs/>
          <w:color w:val="auto"/>
          <w:sz w:val="24"/>
          <w:szCs w:val="24"/>
          <w:highlight w:val="none"/>
        </w:rPr>
        <w:t>响应费用</w:t>
      </w:r>
    </w:p>
    <w:p w14:paraId="77205807">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5.1</w:t>
      </w:r>
      <w:r>
        <w:rPr>
          <w:rFonts w:hint="eastAsia" w:ascii="宋体" w:hAnsi="宋体" w:eastAsia="宋体" w:cs="宋体"/>
          <w:color w:val="auto"/>
          <w:sz w:val="24"/>
          <w:szCs w:val="24"/>
          <w:highlight w:val="none"/>
        </w:rPr>
        <w:t>供应商应自行承担所有与准备和参加磋商有关的费用，无论磋商的结果如何，采购人或采购代理机构在任何情况下均无承担这些费用的义务和责任。</w:t>
      </w:r>
    </w:p>
    <w:p w14:paraId="048B9A83">
      <w:pPr>
        <w:pageBreakBefore w:val="0"/>
        <w:widowControl w:val="0"/>
        <w:tabs>
          <w:tab w:val="left" w:pos="108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bookmarkStart w:id="155" w:name="_1.8_计量单位"/>
      <w:bookmarkEnd w:id="155"/>
    </w:p>
    <w:p w14:paraId="35CAB574">
      <w:pPr>
        <w:pStyle w:val="196"/>
        <w:pageBreakBefore w:val="0"/>
        <w:widowControl w:val="0"/>
        <w:kinsoku/>
        <w:wordWrap/>
        <w:overflowPunct/>
        <w:topLinePunct w:val="0"/>
        <w:autoSpaceDE/>
        <w:autoSpaceDN/>
        <w:bidi w:val="0"/>
        <w:adjustRightInd/>
        <w:spacing w:before="0" w:line="360" w:lineRule="auto"/>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   竞争性磋商文件</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244D213D">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bookmarkStart w:id="156" w:name="_Toc164229364"/>
      <w:bookmarkStart w:id="157" w:name="_Toc149720816"/>
      <w:bookmarkStart w:id="158" w:name="_Toc164351617"/>
      <w:bookmarkStart w:id="159" w:name="_Toc151193621"/>
      <w:bookmarkStart w:id="160" w:name="_Toc150509274"/>
      <w:bookmarkStart w:id="161" w:name="_Toc127161437"/>
      <w:bookmarkStart w:id="162" w:name="_Toc151193765"/>
      <w:bookmarkStart w:id="163" w:name="_Toc150774728"/>
      <w:bookmarkStart w:id="164" w:name="_Toc151190150"/>
      <w:bookmarkStart w:id="165" w:name="_Toc164608792"/>
      <w:bookmarkStart w:id="166" w:name="_Toc142311025"/>
      <w:bookmarkStart w:id="167" w:name="_Toc151193911"/>
      <w:bookmarkStart w:id="168" w:name="_Toc305158865"/>
      <w:bookmarkStart w:id="169" w:name="_Toc150774623"/>
      <w:bookmarkStart w:id="170" w:name="_Toc226337219"/>
      <w:bookmarkStart w:id="171" w:name="_Toc195842888"/>
      <w:bookmarkStart w:id="172" w:name="_Toc150480761"/>
      <w:bookmarkStart w:id="173" w:name="_Toc264969213"/>
      <w:bookmarkStart w:id="174" w:name="_Toc164229218"/>
      <w:bookmarkStart w:id="175" w:name="_Toc226309767"/>
      <w:bookmarkStart w:id="176" w:name="_Toc151193693"/>
      <w:bookmarkStart w:id="177" w:name="_Toc520356147"/>
      <w:bookmarkStart w:id="178" w:name="_Toc127151724"/>
      <w:bookmarkStart w:id="179" w:name="_Toc151193837"/>
      <w:bookmarkStart w:id="180" w:name="_Toc127151523"/>
      <w:bookmarkStart w:id="181" w:name="_Toc226965713"/>
      <w:bookmarkStart w:id="182" w:name="_Toc305158791"/>
      <w:bookmarkStart w:id="183" w:name="_Toc226965796"/>
      <w:bookmarkStart w:id="184" w:name="_Toc164608637"/>
      <w:bookmarkStart w:id="185" w:name="_Toc265228361"/>
      <w:r>
        <w:rPr>
          <w:rFonts w:hint="eastAsia" w:ascii="宋体" w:hAnsi="宋体" w:eastAsia="宋体" w:cs="宋体"/>
          <w:b/>
          <w:bCs/>
          <w:color w:val="auto"/>
          <w:sz w:val="24"/>
          <w:szCs w:val="24"/>
          <w:highlight w:val="none"/>
          <w:lang w:val="en-US" w:eastAsia="zh-CN" w:bidi="ar-SA"/>
        </w:rPr>
        <w:t>6</w:t>
      </w:r>
      <w:r>
        <w:rPr>
          <w:rFonts w:hint="eastAsia" w:ascii="宋体" w:hAnsi="宋体" w:eastAsia="宋体" w:cs="宋体"/>
          <w:b/>
          <w:bCs/>
          <w:color w:val="auto"/>
          <w:sz w:val="24"/>
          <w:szCs w:val="24"/>
          <w:highlight w:val="none"/>
        </w:rPr>
        <w:t>竞争性磋商文件构</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rPr>
          <w:rFonts w:hint="eastAsia" w:ascii="宋体" w:hAnsi="宋体" w:eastAsia="宋体" w:cs="宋体"/>
          <w:b/>
          <w:bCs/>
          <w:color w:val="auto"/>
          <w:sz w:val="24"/>
          <w:szCs w:val="24"/>
          <w:highlight w:val="none"/>
        </w:rPr>
        <w:t>成</w:t>
      </w:r>
    </w:p>
    <w:p w14:paraId="30D97C93">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6.1</w:t>
      </w:r>
      <w:r>
        <w:rPr>
          <w:rFonts w:hint="eastAsia" w:ascii="宋体" w:hAnsi="宋体" w:eastAsia="宋体" w:cs="宋体"/>
          <w:color w:val="auto"/>
          <w:sz w:val="24"/>
          <w:szCs w:val="24"/>
          <w:highlight w:val="none"/>
        </w:rPr>
        <w:t>竞争性磋商文件包括以下部分：</w:t>
      </w:r>
    </w:p>
    <w:p w14:paraId="15B8E0F9">
      <w:pPr>
        <w:pageBreakBefore w:val="0"/>
        <w:widowControl w:val="0"/>
        <w:numPr>
          <w:ilvl w:val="0"/>
          <w:numId w:val="0"/>
        </w:numPr>
        <w:tabs>
          <w:tab w:val="left" w:pos="1980"/>
          <w:tab w:val="left" w:pos="2520"/>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第一章</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采购邀请</w:t>
      </w:r>
    </w:p>
    <w:p w14:paraId="5B10528D">
      <w:pPr>
        <w:pageBreakBefore w:val="0"/>
        <w:widowControl w:val="0"/>
        <w:numPr>
          <w:ilvl w:val="0"/>
          <w:numId w:val="0"/>
        </w:numPr>
        <w:tabs>
          <w:tab w:val="left" w:pos="1980"/>
          <w:tab w:val="left" w:pos="2520"/>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第二章</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供应商须知</w:t>
      </w:r>
    </w:p>
    <w:p w14:paraId="63B4D1A5">
      <w:pPr>
        <w:pageBreakBefore w:val="0"/>
        <w:widowControl w:val="0"/>
        <w:numPr>
          <w:ilvl w:val="0"/>
          <w:numId w:val="0"/>
        </w:numPr>
        <w:tabs>
          <w:tab w:val="left" w:pos="1980"/>
          <w:tab w:val="left" w:pos="2520"/>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第三章</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评审程序、评审方法和评审标准</w:t>
      </w:r>
    </w:p>
    <w:p w14:paraId="3A7A1CBA">
      <w:pPr>
        <w:pageBreakBefore w:val="0"/>
        <w:widowControl w:val="0"/>
        <w:numPr>
          <w:ilvl w:val="0"/>
          <w:numId w:val="0"/>
        </w:numPr>
        <w:tabs>
          <w:tab w:val="left" w:pos="1980"/>
          <w:tab w:val="left" w:pos="2520"/>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第四章</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采购需求</w:t>
      </w:r>
    </w:p>
    <w:p w14:paraId="1731BB45">
      <w:pPr>
        <w:pageBreakBefore w:val="0"/>
        <w:widowControl w:val="0"/>
        <w:numPr>
          <w:ilvl w:val="0"/>
          <w:numId w:val="0"/>
        </w:numPr>
        <w:tabs>
          <w:tab w:val="left" w:pos="1980"/>
          <w:tab w:val="left" w:pos="2520"/>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第五章</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合同草案条款</w:t>
      </w:r>
    </w:p>
    <w:p w14:paraId="166F3E84">
      <w:pPr>
        <w:pageBreakBefore w:val="0"/>
        <w:widowControl w:val="0"/>
        <w:numPr>
          <w:ilvl w:val="0"/>
          <w:numId w:val="0"/>
        </w:numPr>
        <w:tabs>
          <w:tab w:val="left" w:pos="1980"/>
          <w:tab w:val="left" w:pos="2520"/>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第六章</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响应文件格式</w:t>
      </w:r>
    </w:p>
    <w:p w14:paraId="7176A096">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6.2</w:t>
      </w:r>
      <w:r>
        <w:rPr>
          <w:rFonts w:hint="eastAsia" w:ascii="宋体" w:hAnsi="宋体" w:eastAsia="宋体" w:cs="宋体"/>
          <w:color w:val="auto"/>
          <w:sz w:val="24"/>
          <w:szCs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auto"/>
          <w:sz w:val="24"/>
          <w:szCs w:val="24"/>
          <w:highlight w:val="none"/>
        </w:rPr>
        <w:t>响应无效</w:t>
      </w:r>
      <w:r>
        <w:rPr>
          <w:rFonts w:hint="eastAsia" w:ascii="宋体" w:hAnsi="宋体" w:eastAsia="宋体" w:cs="宋体"/>
          <w:color w:val="auto"/>
          <w:sz w:val="24"/>
          <w:szCs w:val="24"/>
          <w:highlight w:val="none"/>
        </w:rPr>
        <w:t>。</w:t>
      </w:r>
    </w:p>
    <w:p w14:paraId="3A96036A">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7</w:t>
      </w:r>
      <w:r>
        <w:rPr>
          <w:rFonts w:hint="eastAsia" w:ascii="宋体" w:hAnsi="宋体" w:eastAsia="宋体" w:cs="宋体"/>
          <w:b/>
          <w:bCs/>
          <w:color w:val="auto"/>
          <w:sz w:val="24"/>
          <w:szCs w:val="24"/>
          <w:highlight w:val="none"/>
        </w:rPr>
        <w:t>对竞争性磋商文件的澄清或修改</w:t>
      </w:r>
    </w:p>
    <w:p w14:paraId="0313096A">
      <w:pPr>
        <w:pageBreakBefore w:val="0"/>
        <w:widowControl w:val="0"/>
        <w:numPr>
          <w:ilvl w:val="1"/>
          <w:numId w:val="0"/>
        </w:numPr>
        <w:tabs>
          <w:tab w:val="left" w:pos="1080"/>
          <w:tab w:val="left" w:pos="1561"/>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7.1</w:t>
      </w:r>
      <w:r>
        <w:rPr>
          <w:rFonts w:hint="eastAsia" w:ascii="宋体" w:hAnsi="宋体" w:eastAsia="宋体" w:cs="宋体"/>
          <w:color w:val="auto"/>
          <w:sz w:val="24"/>
          <w:szCs w:val="24"/>
          <w:highlight w:val="none"/>
        </w:rPr>
        <w:t>采购人或采购代理机构对已发出的竞争性磋商文件进行必要澄清或者修改的，将在原公告发布媒体上以发布更正公告的形式通知所有获取磋商文件的供应商。</w:t>
      </w:r>
    </w:p>
    <w:p w14:paraId="3A66BD51">
      <w:pPr>
        <w:pageBreakBefore w:val="0"/>
        <w:widowControl w:val="0"/>
        <w:numPr>
          <w:ilvl w:val="1"/>
          <w:numId w:val="0"/>
        </w:numPr>
        <w:tabs>
          <w:tab w:val="left" w:pos="1080"/>
          <w:tab w:val="left" w:pos="1561"/>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7.2</w:t>
      </w:r>
      <w:r>
        <w:rPr>
          <w:rFonts w:hint="eastAsia" w:ascii="宋体" w:hAnsi="宋体" w:eastAsia="宋体" w:cs="宋体"/>
          <w:color w:val="auto"/>
          <w:sz w:val="24"/>
          <w:szCs w:val="24"/>
          <w:highlight w:val="none"/>
        </w:rPr>
        <w:t>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4A6284CC">
      <w:pPr>
        <w:pageBreakBefore w:val="0"/>
        <w:widowControl w:val="0"/>
        <w:tabs>
          <w:tab w:val="left" w:pos="1080"/>
          <w:tab w:val="left" w:pos="1561"/>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bookmarkStart w:id="186" w:name="_Toc516367020"/>
      <w:bookmarkStart w:id="187" w:name="_Toc150774731"/>
      <w:bookmarkStart w:id="188" w:name="_Toc305158794"/>
      <w:bookmarkStart w:id="189" w:name="_Toc127151526"/>
      <w:bookmarkStart w:id="190" w:name="_Toc226965716"/>
      <w:bookmarkStart w:id="191" w:name="_Toc151193768"/>
      <w:bookmarkStart w:id="192" w:name="_Toc151193696"/>
      <w:bookmarkStart w:id="193" w:name="_Toc226965799"/>
      <w:bookmarkStart w:id="194" w:name="_Toc305158868"/>
      <w:bookmarkStart w:id="195" w:name="_Toc151193624"/>
      <w:bookmarkStart w:id="196" w:name="_Toc142311028"/>
      <w:bookmarkStart w:id="197" w:name="_Toc520356150"/>
      <w:bookmarkStart w:id="198" w:name="_Toc265228364"/>
      <w:bookmarkStart w:id="199" w:name="_Toc226337222"/>
      <w:bookmarkStart w:id="200" w:name="_Toc150509277"/>
      <w:bookmarkStart w:id="201" w:name="_Toc151193914"/>
      <w:bookmarkStart w:id="202" w:name="_Toc195842891"/>
      <w:bookmarkStart w:id="203" w:name="_Toc150774626"/>
      <w:bookmarkStart w:id="204" w:name="_Toc151193840"/>
      <w:bookmarkStart w:id="205" w:name="_Toc226309770"/>
      <w:bookmarkStart w:id="206" w:name="_Toc264969216"/>
      <w:bookmarkStart w:id="207" w:name="_Toc150480764"/>
      <w:bookmarkStart w:id="208" w:name="_Toc151190153"/>
    </w:p>
    <w:p w14:paraId="0FEDF81D">
      <w:pPr>
        <w:pStyle w:val="196"/>
        <w:pageBreakBefore w:val="0"/>
        <w:widowControl w:val="0"/>
        <w:kinsoku/>
        <w:wordWrap/>
        <w:overflowPunct/>
        <w:topLinePunct w:val="0"/>
        <w:autoSpaceDE/>
        <w:autoSpaceDN/>
        <w:bidi w:val="0"/>
        <w:adjustRightInd/>
        <w:spacing w:before="0" w:line="360" w:lineRule="auto"/>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   响应文件</w:t>
      </w:r>
      <w:bookmarkEnd w:id="186"/>
      <w:r>
        <w:rPr>
          <w:rFonts w:hint="eastAsia" w:ascii="宋体" w:hAnsi="宋体" w:eastAsia="宋体" w:cs="宋体"/>
          <w:color w:val="auto"/>
          <w:sz w:val="24"/>
          <w:szCs w:val="24"/>
          <w:highlight w:val="none"/>
        </w:rPr>
        <w:t>的编制</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085F9463">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bookmarkStart w:id="209" w:name="_Toc164351621"/>
      <w:bookmarkStart w:id="210" w:name="_Toc265228365"/>
      <w:bookmarkStart w:id="211" w:name="_Toc150774627"/>
      <w:bookmarkStart w:id="212" w:name="_Toc151193625"/>
      <w:bookmarkStart w:id="213" w:name="_Toc127151728"/>
      <w:bookmarkStart w:id="214" w:name="_Toc226965717"/>
      <w:bookmarkStart w:id="215" w:name="_Toc151190154"/>
      <w:bookmarkStart w:id="216" w:name="_Toc151193841"/>
      <w:bookmarkStart w:id="217" w:name="_Toc195842892"/>
      <w:bookmarkStart w:id="218" w:name="_Toc150509278"/>
      <w:bookmarkStart w:id="219" w:name="_Toc149720820"/>
      <w:bookmarkStart w:id="220" w:name="_Toc150774732"/>
      <w:bookmarkStart w:id="221" w:name="_Toc151193697"/>
      <w:bookmarkStart w:id="222" w:name="_Toc226309771"/>
      <w:bookmarkStart w:id="223" w:name="_Toc164229368"/>
      <w:bookmarkStart w:id="224" w:name="_Toc305158869"/>
      <w:bookmarkStart w:id="225" w:name="_Toc151193769"/>
      <w:bookmarkStart w:id="226" w:name="_Toc164608641"/>
      <w:bookmarkStart w:id="227" w:name="_Toc264969217"/>
      <w:bookmarkStart w:id="228" w:name="_Toc516367021"/>
      <w:bookmarkStart w:id="229" w:name="_Toc127161441"/>
      <w:bookmarkStart w:id="230" w:name="_Toc164608796"/>
      <w:bookmarkStart w:id="231" w:name="_Toc164229222"/>
      <w:bookmarkStart w:id="232" w:name="_Toc305158795"/>
      <w:bookmarkStart w:id="233" w:name="_Toc127151527"/>
      <w:bookmarkStart w:id="234" w:name="_Toc150480765"/>
      <w:bookmarkStart w:id="235" w:name="_Toc151193915"/>
      <w:bookmarkStart w:id="236" w:name="_Toc520356151"/>
      <w:bookmarkStart w:id="237" w:name="_Toc226337223"/>
      <w:bookmarkStart w:id="238" w:name="_Toc226965800"/>
      <w:bookmarkStart w:id="239" w:name="_Toc142311029"/>
      <w:r>
        <w:rPr>
          <w:rFonts w:hint="eastAsia" w:ascii="宋体" w:hAnsi="宋体" w:eastAsia="宋体" w:cs="宋体"/>
          <w:b/>
          <w:bCs/>
          <w:color w:val="auto"/>
          <w:sz w:val="24"/>
          <w:szCs w:val="24"/>
          <w:highlight w:val="none"/>
          <w:lang w:val="en-US" w:eastAsia="zh-CN" w:bidi="ar-SA"/>
        </w:rPr>
        <w:t>8</w:t>
      </w:r>
      <w:r>
        <w:rPr>
          <w:rFonts w:hint="eastAsia" w:ascii="宋体" w:hAnsi="宋体" w:eastAsia="宋体" w:cs="宋体"/>
          <w:b/>
          <w:bCs/>
          <w:color w:val="auto"/>
          <w:sz w:val="24"/>
          <w:szCs w:val="24"/>
          <w:highlight w:val="none"/>
        </w:rPr>
        <w:t>响应范围、竞争性磋商文件中计量单位的使用</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Pr>
          <w:rFonts w:hint="eastAsia" w:ascii="宋体" w:hAnsi="宋体" w:eastAsia="宋体" w:cs="宋体"/>
          <w:b/>
          <w:bCs/>
          <w:color w:val="auto"/>
          <w:sz w:val="24"/>
          <w:szCs w:val="24"/>
          <w:highlight w:val="none"/>
        </w:rPr>
        <w:t>及磋商语言</w:t>
      </w:r>
    </w:p>
    <w:p w14:paraId="1FF10B48">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8.1</w:t>
      </w:r>
      <w:r>
        <w:rPr>
          <w:rFonts w:hint="eastAsia" w:ascii="宋体" w:hAnsi="宋体" w:eastAsia="宋体" w:cs="宋体"/>
          <w:color w:val="auto"/>
          <w:sz w:val="24"/>
          <w:szCs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auto"/>
          <w:sz w:val="24"/>
          <w:szCs w:val="24"/>
          <w:highlight w:val="none"/>
        </w:rPr>
        <w:t>响应无效</w:t>
      </w:r>
      <w:r>
        <w:rPr>
          <w:rFonts w:hint="eastAsia" w:ascii="宋体" w:hAnsi="宋体" w:eastAsia="宋体" w:cs="宋体"/>
          <w:color w:val="auto"/>
          <w:sz w:val="24"/>
          <w:szCs w:val="24"/>
          <w:highlight w:val="none"/>
        </w:rPr>
        <w:t>。</w:t>
      </w:r>
    </w:p>
    <w:p w14:paraId="5DED03E9">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8.2</w:t>
      </w:r>
      <w:r>
        <w:rPr>
          <w:rFonts w:hint="eastAsia" w:ascii="宋体" w:hAnsi="宋体" w:eastAsia="宋体" w:cs="宋体"/>
          <w:color w:val="auto"/>
          <w:sz w:val="24"/>
          <w:szCs w:val="24"/>
          <w:highlight w:val="none"/>
        </w:rPr>
        <w:t>除竞争性磋商文件有特殊要求外，本项目磋商所使用的计量单位，应采用中华人民共和国法定计量单位。</w:t>
      </w:r>
    </w:p>
    <w:p w14:paraId="364E093F">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8.3</w:t>
      </w:r>
      <w:r>
        <w:rPr>
          <w:rFonts w:hint="eastAsia" w:ascii="宋体" w:hAnsi="宋体" w:eastAsia="宋体" w:cs="宋体"/>
          <w:color w:val="auto"/>
          <w:sz w:val="24"/>
          <w:szCs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6C22146F">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bookmarkStart w:id="240" w:name="_Ref467306676"/>
      <w:bookmarkStart w:id="241" w:name="_Ref467306195"/>
      <w:bookmarkStart w:id="242" w:name="_Toc516367022"/>
      <w:bookmarkStart w:id="243" w:name="_Toc164351622"/>
      <w:bookmarkStart w:id="244" w:name="_Toc151193698"/>
      <w:bookmarkStart w:id="245" w:name="_Toc151190155"/>
      <w:bookmarkStart w:id="246" w:name="_Toc226965801"/>
      <w:bookmarkStart w:id="247" w:name="_Toc164608797"/>
      <w:bookmarkStart w:id="248" w:name="_Toc305158796"/>
      <w:bookmarkStart w:id="249" w:name="_Toc127161442"/>
      <w:bookmarkStart w:id="250" w:name="_Toc150774733"/>
      <w:bookmarkStart w:id="251" w:name="_Toc164608642"/>
      <w:bookmarkStart w:id="252" w:name="_Toc127151729"/>
      <w:bookmarkStart w:id="253" w:name="_Toc164229369"/>
      <w:bookmarkStart w:id="254" w:name="_Toc142311030"/>
      <w:bookmarkStart w:id="255" w:name="_Toc151193770"/>
      <w:bookmarkStart w:id="256" w:name="_Toc226965718"/>
      <w:bookmarkStart w:id="257" w:name="_Toc226337224"/>
      <w:bookmarkStart w:id="258" w:name="_Toc305158870"/>
      <w:bookmarkStart w:id="259" w:name="_Toc150774628"/>
      <w:bookmarkStart w:id="260" w:name="_Toc151193916"/>
      <w:bookmarkStart w:id="261" w:name="_Toc150480766"/>
      <w:bookmarkStart w:id="262" w:name="_Toc195842893"/>
      <w:bookmarkStart w:id="263" w:name="_Toc151193842"/>
      <w:bookmarkStart w:id="264" w:name="_Toc265228366"/>
      <w:bookmarkStart w:id="265" w:name="_Toc264969218"/>
      <w:bookmarkStart w:id="266" w:name="_Toc520356152"/>
      <w:bookmarkStart w:id="267" w:name="_Toc151193626"/>
      <w:bookmarkStart w:id="268" w:name="_Toc150509279"/>
      <w:bookmarkStart w:id="269" w:name="_Toc127151528"/>
      <w:bookmarkStart w:id="270" w:name="_Toc164229223"/>
      <w:bookmarkStart w:id="271" w:name="_Toc226309772"/>
      <w:bookmarkStart w:id="272" w:name="_Toc149720821"/>
      <w:r>
        <w:rPr>
          <w:rFonts w:hint="eastAsia" w:ascii="宋体" w:hAnsi="宋体" w:eastAsia="宋体" w:cs="宋体"/>
          <w:b/>
          <w:bCs/>
          <w:color w:val="auto"/>
          <w:sz w:val="24"/>
          <w:szCs w:val="24"/>
          <w:highlight w:val="none"/>
          <w:lang w:val="en-US" w:eastAsia="zh-CN" w:bidi="ar-SA"/>
        </w:rPr>
        <w:t>9</w:t>
      </w:r>
      <w:r>
        <w:rPr>
          <w:rFonts w:hint="eastAsia" w:ascii="宋体" w:hAnsi="宋体" w:eastAsia="宋体" w:cs="宋体"/>
          <w:b/>
          <w:bCs/>
          <w:color w:val="auto"/>
          <w:sz w:val="24"/>
          <w:szCs w:val="24"/>
          <w:highlight w:val="none"/>
        </w:rPr>
        <w:t>响应文件</w:t>
      </w:r>
      <w:bookmarkEnd w:id="240"/>
      <w:bookmarkEnd w:id="241"/>
      <w:bookmarkEnd w:id="242"/>
      <w:r>
        <w:rPr>
          <w:rFonts w:hint="eastAsia" w:ascii="宋体" w:hAnsi="宋体" w:eastAsia="宋体" w:cs="宋体"/>
          <w:b/>
          <w:bCs/>
          <w:color w:val="auto"/>
          <w:sz w:val="24"/>
          <w:szCs w:val="24"/>
          <w:highlight w:val="none"/>
        </w:rPr>
        <w:t>构成</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5B0E7E45">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bookmarkStart w:id="273" w:name="_Ref467052588"/>
      <w:r>
        <w:rPr>
          <w:rFonts w:hint="eastAsia" w:ascii="宋体" w:hAnsi="宋体" w:eastAsia="宋体" w:cs="宋体"/>
          <w:color w:val="auto"/>
          <w:sz w:val="24"/>
          <w:szCs w:val="24"/>
          <w:highlight w:val="none"/>
          <w:lang w:val="en-US" w:eastAsia="zh-CN" w:bidi="ar-SA"/>
        </w:rPr>
        <w:t>9.1</w:t>
      </w:r>
      <w:r>
        <w:rPr>
          <w:rFonts w:hint="eastAsia" w:ascii="宋体" w:hAnsi="宋体" w:eastAsia="宋体" w:cs="宋体"/>
          <w:color w:val="auto"/>
          <w:sz w:val="24"/>
          <w:szCs w:val="24"/>
          <w:highlight w:val="none"/>
        </w:rPr>
        <w:t>供应商应当按照竞争性磋商文件的要求编制响应文件，并对其提交的响应文件的真实性、合法性承担法律责任。响应文件的部分格式要求，见第六章《响应文件格式》。</w:t>
      </w:r>
    </w:p>
    <w:p w14:paraId="15550FD5">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9.2</w:t>
      </w:r>
      <w:r>
        <w:rPr>
          <w:rFonts w:hint="eastAsia" w:ascii="宋体" w:hAnsi="宋体" w:eastAsia="宋体" w:cs="宋体"/>
          <w:color w:val="auto"/>
          <w:sz w:val="24"/>
          <w:szCs w:val="24"/>
          <w:highlight w:val="none"/>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sz w:val="24"/>
          <w:szCs w:val="24"/>
          <w:highlight w:val="none"/>
        </w:rPr>
        <w:t>否则响应无效</w:t>
      </w:r>
      <w:r>
        <w:rPr>
          <w:rFonts w:hint="eastAsia" w:ascii="宋体" w:hAnsi="宋体" w:eastAsia="宋体" w:cs="宋体"/>
          <w:color w:val="auto"/>
          <w:sz w:val="24"/>
          <w:szCs w:val="24"/>
          <w:highlight w:val="none"/>
        </w:rPr>
        <w:t>。未标记“实质性格式”的文件和竞争性磋商文件未提供格式的内容，可由供应商自行编写。</w:t>
      </w:r>
    </w:p>
    <w:p w14:paraId="261914FE">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9.3</w:t>
      </w:r>
      <w:r>
        <w:rPr>
          <w:rFonts w:hint="eastAsia" w:ascii="宋体" w:hAnsi="宋体" w:eastAsia="宋体" w:cs="宋体"/>
          <w:color w:val="auto"/>
          <w:sz w:val="24"/>
          <w:szCs w:val="24"/>
          <w:highlight w:val="none"/>
        </w:rPr>
        <w:t>第三章《评审方法和评审标准》中涉及的证明文件。</w:t>
      </w:r>
    </w:p>
    <w:p w14:paraId="64236750">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9.4</w:t>
      </w:r>
      <w:r>
        <w:rPr>
          <w:rFonts w:hint="eastAsia" w:ascii="宋体" w:hAnsi="宋体" w:eastAsia="宋体" w:cs="宋体"/>
          <w:color w:val="auto"/>
          <w:sz w:val="24"/>
          <w:szCs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BA5E954">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9.5</w:t>
      </w:r>
      <w:r>
        <w:rPr>
          <w:rFonts w:hint="eastAsia" w:ascii="宋体" w:hAnsi="宋体" w:eastAsia="宋体" w:cs="宋体"/>
          <w:color w:val="auto"/>
          <w:sz w:val="24"/>
          <w:szCs w:val="24"/>
          <w:highlight w:val="none"/>
        </w:rPr>
        <w:t>供应商认为应附的其他材料。</w:t>
      </w:r>
      <w:bookmarkEnd w:id="273"/>
    </w:p>
    <w:p w14:paraId="7C4C7B61">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bookmarkStart w:id="274" w:name="_Toc150774735"/>
      <w:bookmarkStart w:id="275" w:name="_Toc151193628"/>
      <w:bookmarkStart w:id="276" w:name="_Toc164608799"/>
      <w:bookmarkStart w:id="277" w:name="_Toc127151530"/>
      <w:bookmarkStart w:id="278" w:name="_Toc195842895"/>
      <w:bookmarkStart w:id="279" w:name="_Toc127151731"/>
      <w:bookmarkStart w:id="280" w:name="_Toc149720823"/>
      <w:bookmarkStart w:id="281" w:name="_Toc520356155"/>
      <w:bookmarkStart w:id="282" w:name="_Toc151193918"/>
      <w:bookmarkStart w:id="283" w:name="_Toc150480768"/>
      <w:bookmarkStart w:id="284" w:name="_Toc164229371"/>
      <w:bookmarkStart w:id="285" w:name="_Toc151193772"/>
      <w:bookmarkStart w:id="286" w:name="_Toc150509281"/>
      <w:bookmarkStart w:id="287" w:name="_Toc150774630"/>
      <w:bookmarkStart w:id="288" w:name="_Toc164229225"/>
      <w:bookmarkStart w:id="289" w:name="_Toc164351624"/>
      <w:bookmarkStart w:id="290" w:name="_Toc127161444"/>
      <w:bookmarkStart w:id="291" w:name="_Toc151193700"/>
      <w:bookmarkStart w:id="292" w:name="_Toc151190157"/>
      <w:bookmarkStart w:id="293" w:name="_Toc151193844"/>
      <w:bookmarkStart w:id="294" w:name="_Toc142311032"/>
      <w:bookmarkStart w:id="295" w:name="_Toc164608644"/>
      <w:r>
        <w:rPr>
          <w:rFonts w:hint="eastAsia" w:ascii="宋体" w:hAnsi="宋体" w:eastAsia="宋体" w:cs="宋体"/>
          <w:b/>
          <w:bCs/>
          <w:color w:val="auto"/>
          <w:sz w:val="24"/>
          <w:szCs w:val="24"/>
          <w:highlight w:val="none"/>
          <w:lang w:val="en-US" w:eastAsia="zh-CN" w:bidi="ar-SA"/>
        </w:rPr>
        <w:t>10</w:t>
      </w:r>
      <w:r>
        <w:rPr>
          <w:rFonts w:hint="eastAsia" w:ascii="宋体" w:hAnsi="宋体" w:eastAsia="宋体" w:cs="宋体"/>
          <w:b/>
          <w:bCs/>
          <w:color w:val="auto"/>
          <w:sz w:val="24"/>
          <w:szCs w:val="24"/>
          <w:highlight w:val="none"/>
        </w:rPr>
        <w:t>报价</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3FF9ED02">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10.1</w:t>
      </w:r>
      <w:r>
        <w:rPr>
          <w:rFonts w:hint="eastAsia" w:ascii="宋体" w:hAnsi="宋体" w:eastAsia="宋体" w:cs="宋体"/>
          <w:color w:val="auto"/>
          <w:sz w:val="24"/>
          <w:szCs w:val="24"/>
          <w:highlight w:val="none"/>
        </w:rPr>
        <w:t>所有响应均以人民币报价。</w:t>
      </w:r>
    </w:p>
    <w:p w14:paraId="52B33140">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10.2</w:t>
      </w:r>
      <w:r>
        <w:rPr>
          <w:rFonts w:hint="eastAsia" w:ascii="宋体" w:hAnsi="宋体" w:eastAsia="宋体" w:cs="宋体"/>
          <w:color w:val="auto"/>
          <w:sz w:val="24"/>
          <w:szCs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7AA54F75">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10.2.1</w:t>
      </w:r>
      <w:r>
        <w:rPr>
          <w:rFonts w:hint="eastAsia" w:ascii="宋体" w:hAnsi="宋体" w:eastAsia="宋体" w:cs="宋体"/>
          <w:color w:val="auto"/>
          <w:sz w:val="24"/>
          <w:szCs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6DC5DA90">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10.2.2</w:t>
      </w:r>
      <w:r>
        <w:rPr>
          <w:rFonts w:hint="eastAsia" w:ascii="宋体" w:hAnsi="宋体" w:eastAsia="宋体" w:cs="宋体"/>
          <w:color w:val="auto"/>
          <w:sz w:val="24"/>
          <w:szCs w:val="24"/>
          <w:highlight w:val="none"/>
        </w:rPr>
        <w:t>按照竞争性磋商文件要求完成本项目的全部相关工程或服务费用。</w:t>
      </w:r>
    </w:p>
    <w:p w14:paraId="2636A5A3">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10.3</w:t>
      </w:r>
      <w:r>
        <w:rPr>
          <w:rFonts w:hint="eastAsia" w:ascii="宋体" w:hAnsi="宋体" w:eastAsia="宋体" w:cs="宋体"/>
          <w:b/>
          <w:bCs/>
          <w:color w:val="auto"/>
          <w:sz w:val="24"/>
          <w:szCs w:val="24"/>
          <w:highlight w:val="none"/>
        </w:rPr>
        <w:t>报价次数：2次报价</w:t>
      </w:r>
      <w:r>
        <w:rPr>
          <w:rFonts w:hint="eastAsia" w:ascii="宋体" w:hAnsi="宋体" w:eastAsia="宋体" w:cs="宋体"/>
          <w:color w:val="auto"/>
          <w:sz w:val="24"/>
          <w:szCs w:val="24"/>
          <w:highlight w:val="none"/>
        </w:rPr>
        <w:t>，响应文件中的报价作为首次报价，</w:t>
      </w:r>
      <w:r>
        <w:rPr>
          <w:rFonts w:hint="eastAsia" w:ascii="宋体" w:hAnsi="宋体" w:eastAsia="宋体" w:cs="宋体"/>
          <w:color w:val="auto"/>
          <w:sz w:val="24"/>
          <w:szCs w:val="24"/>
          <w:highlight w:val="none"/>
          <w:lang w:eastAsia="zh-CN"/>
        </w:rPr>
        <w:t>首次报价不超最高限价（控制价），</w:t>
      </w:r>
      <w:r>
        <w:rPr>
          <w:rFonts w:hint="eastAsia" w:ascii="宋体" w:hAnsi="宋体" w:eastAsia="宋体" w:cs="宋体"/>
          <w:color w:val="auto"/>
          <w:sz w:val="24"/>
          <w:szCs w:val="24"/>
          <w:highlight w:val="none"/>
        </w:rPr>
        <w:t>磋商小组应当要求所有实质性响应的供应商在规定时间内提交最后报价，最后报价作为评分依据。</w:t>
      </w:r>
    </w:p>
    <w:p w14:paraId="694EAA37">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10.4</w:t>
      </w:r>
      <w:r>
        <w:rPr>
          <w:rFonts w:hint="eastAsia" w:ascii="宋体" w:hAnsi="宋体" w:eastAsia="宋体" w:cs="宋体"/>
          <w:color w:val="auto"/>
          <w:sz w:val="24"/>
          <w:szCs w:val="24"/>
          <w:highlight w:val="none"/>
        </w:rPr>
        <w:t>采购人不得向供应商索要或者接受其给予的赠品、回扣或者与采购无关的其他商品、服务。</w:t>
      </w:r>
    </w:p>
    <w:p w14:paraId="1A30C975">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10.5</w:t>
      </w:r>
      <w:r>
        <w:rPr>
          <w:rFonts w:hint="eastAsia" w:ascii="宋体" w:hAnsi="宋体" w:eastAsia="宋体" w:cs="宋体"/>
          <w:color w:val="auto"/>
          <w:sz w:val="24"/>
          <w:szCs w:val="24"/>
          <w:highlight w:val="none"/>
        </w:rPr>
        <w:t>供应商不能提供任何有选择性或可调整的最终报价（竞争性磋商文件另有规定的除外），否则其</w:t>
      </w:r>
      <w:r>
        <w:rPr>
          <w:rFonts w:hint="eastAsia" w:ascii="宋体" w:hAnsi="宋体" w:eastAsia="宋体" w:cs="宋体"/>
          <w:b/>
          <w:color w:val="auto"/>
          <w:sz w:val="24"/>
          <w:szCs w:val="24"/>
          <w:highlight w:val="none"/>
        </w:rPr>
        <w:t>响应无效</w:t>
      </w:r>
      <w:r>
        <w:rPr>
          <w:rFonts w:hint="eastAsia" w:ascii="宋体" w:hAnsi="宋体" w:eastAsia="宋体" w:cs="宋体"/>
          <w:color w:val="auto"/>
          <w:sz w:val="24"/>
          <w:szCs w:val="24"/>
          <w:highlight w:val="none"/>
        </w:rPr>
        <w:t>。</w:t>
      </w:r>
    </w:p>
    <w:p w14:paraId="233D8DA2">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11</w:t>
      </w:r>
      <w:r>
        <w:rPr>
          <w:rFonts w:hint="eastAsia" w:ascii="宋体" w:hAnsi="宋体" w:eastAsia="宋体" w:cs="宋体"/>
          <w:b/>
          <w:bCs/>
          <w:color w:val="auto"/>
          <w:sz w:val="24"/>
          <w:szCs w:val="24"/>
          <w:highlight w:val="none"/>
        </w:rPr>
        <w:t>磋商保证金</w:t>
      </w:r>
    </w:p>
    <w:p w14:paraId="099B6601">
      <w:pPr>
        <w:pageBreakBefore w:val="0"/>
        <w:widowControl w:val="0"/>
        <w:tabs>
          <w:tab w:val="left" w:pos="360"/>
        </w:tabs>
        <w:kinsoku/>
        <w:wordWrap/>
        <w:overflowPunct/>
        <w:topLinePunct w:val="0"/>
        <w:autoSpaceDE/>
        <w:autoSpaceDN/>
        <w:bidi w:val="0"/>
        <w:adjustRightInd/>
        <w:spacing w:line="360" w:lineRule="auto"/>
        <w:ind w:left="0" w:firstLine="480" w:firstLineChars="200"/>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根据江苏省和常州市的相关文件规定，免收保证金。</w:t>
      </w:r>
    </w:p>
    <w:p w14:paraId="03C04E4D">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12</w:t>
      </w:r>
      <w:r>
        <w:rPr>
          <w:rFonts w:hint="eastAsia" w:ascii="宋体" w:hAnsi="宋体" w:eastAsia="宋体" w:cs="宋体"/>
          <w:b/>
          <w:bCs/>
          <w:color w:val="auto"/>
          <w:sz w:val="24"/>
          <w:szCs w:val="24"/>
          <w:highlight w:val="none"/>
        </w:rPr>
        <w:t>响应有效期</w:t>
      </w:r>
    </w:p>
    <w:p w14:paraId="36358EAA">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12.1</w:t>
      </w:r>
      <w:r>
        <w:rPr>
          <w:rFonts w:hint="eastAsia" w:ascii="宋体" w:hAnsi="宋体" w:eastAsia="宋体" w:cs="宋体"/>
          <w:color w:val="auto"/>
          <w:sz w:val="24"/>
          <w:szCs w:val="24"/>
          <w:highlight w:val="none"/>
        </w:rPr>
        <w:t>响应文件应在本竞争性磋商文件《供应商须知资料表》中规定的响应有效期内保持有效，响应有效期少于竞争性磋商文件规定期限的，其</w:t>
      </w:r>
      <w:r>
        <w:rPr>
          <w:rFonts w:hint="eastAsia" w:ascii="宋体" w:hAnsi="宋体" w:eastAsia="宋体" w:cs="宋体"/>
          <w:b/>
          <w:color w:val="auto"/>
          <w:sz w:val="24"/>
          <w:szCs w:val="24"/>
          <w:highlight w:val="none"/>
        </w:rPr>
        <w:t>响应无效</w:t>
      </w:r>
      <w:r>
        <w:rPr>
          <w:rFonts w:hint="eastAsia" w:ascii="宋体" w:hAnsi="宋体" w:eastAsia="宋体" w:cs="宋体"/>
          <w:color w:val="auto"/>
          <w:sz w:val="24"/>
          <w:szCs w:val="24"/>
          <w:highlight w:val="none"/>
        </w:rPr>
        <w:t>。</w:t>
      </w:r>
    </w:p>
    <w:p w14:paraId="7D07585B">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bookmarkStart w:id="296" w:name="_Toc305158875"/>
      <w:bookmarkStart w:id="297" w:name="_Toc127161447"/>
      <w:bookmarkStart w:id="298" w:name="_Toc150774738"/>
      <w:bookmarkStart w:id="299" w:name="_Toc164229228"/>
      <w:bookmarkStart w:id="300" w:name="_Toc150509284"/>
      <w:bookmarkStart w:id="301" w:name="_Toc195842898"/>
      <w:bookmarkStart w:id="302" w:name="_Toc151193847"/>
      <w:bookmarkStart w:id="303" w:name="_Toc150774633"/>
      <w:bookmarkStart w:id="304" w:name="_Toc226965806"/>
      <w:bookmarkStart w:id="305" w:name="_Toc151193775"/>
      <w:bookmarkStart w:id="306" w:name="_Toc164351627"/>
      <w:bookmarkStart w:id="307" w:name="_Toc164608802"/>
      <w:bookmarkStart w:id="308" w:name="_Toc127151533"/>
      <w:bookmarkStart w:id="309" w:name="_Toc127151734"/>
      <w:bookmarkStart w:id="310" w:name="_Toc265228371"/>
      <w:bookmarkStart w:id="311" w:name="_Toc520356158"/>
      <w:bookmarkStart w:id="312" w:name="_Toc150480771"/>
      <w:bookmarkStart w:id="313" w:name="_Toc226309777"/>
      <w:bookmarkStart w:id="314" w:name="_Toc164608647"/>
      <w:bookmarkStart w:id="315" w:name="_Toc226965723"/>
      <w:bookmarkStart w:id="316" w:name="_Toc149720826"/>
      <w:bookmarkStart w:id="317" w:name="_Toc164229374"/>
      <w:bookmarkStart w:id="318" w:name="_Toc151193631"/>
      <w:bookmarkStart w:id="319" w:name="_Toc151193921"/>
      <w:bookmarkStart w:id="320" w:name="_Toc151190160"/>
      <w:bookmarkStart w:id="321" w:name="_Toc264969223"/>
      <w:bookmarkStart w:id="322" w:name="_Toc151193703"/>
      <w:bookmarkStart w:id="323" w:name="_Toc226337229"/>
      <w:bookmarkStart w:id="324" w:name="_Toc305158801"/>
      <w:bookmarkStart w:id="325" w:name="_Toc142311035"/>
      <w:r>
        <w:rPr>
          <w:rFonts w:hint="eastAsia" w:ascii="宋体" w:hAnsi="宋体" w:eastAsia="宋体" w:cs="宋体"/>
          <w:b/>
          <w:bCs/>
          <w:color w:val="auto"/>
          <w:sz w:val="24"/>
          <w:szCs w:val="24"/>
          <w:highlight w:val="none"/>
          <w:lang w:val="en-US" w:eastAsia="zh-CN" w:bidi="ar-SA"/>
        </w:rPr>
        <w:t>13</w:t>
      </w:r>
      <w:r>
        <w:rPr>
          <w:rFonts w:hint="eastAsia" w:ascii="宋体" w:hAnsi="宋体" w:eastAsia="宋体" w:cs="宋体"/>
          <w:b/>
          <w:bCs/>
          <w:color w:val="auto"/>
          <w:sz w:val="24"/>
          <w:szCs w:val="24"/>
          <w:highlight w:val="none"/>
        </w:rPr>
        <w:t>响应文件的签署</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Pr>
          <w:rFonts w:hint="eastAsia" w:ascii="宋体" w:hAnsi="宋体" w:eastAsia="宋体" w:cs="宋体"/>
          <w:b/>
          <w:bCs/>
          <w:color w:val="auto"/>
          <w:sz w:val="24"/>
          <w:szCs w:val="24"/>
          <w:highlight w:val="none"/>
        </w:rPr>
        <w:t>、盖章</w:t>
      </w:r>
    </w:p>
    <w:p w14:paraId="66584094">
      <w:pPr>
        <w:pageBreakBefore w:val="0"/>
        <w:widowControl w:val="0"/>
        <w:numPr>
          <w:ilvl w:val="1"/>
          <w:numId w:val="0"/>
        </w:numPr>
        <w:tabs>
          <w:tab w:val="left" w:pos="1080"/>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bookmarkStart w:id="326" w:name="_Toc226965807"/>
      <w:bookmarkStart w:id="327" w:name="_Toc226965724"/>
      <w:bookmarkStart w:id="328" w:name="_Toc150774739"/>
      <w:bookmarkStart w:id="329" w:name="_Toc151190161"/>
      <w:bookmarkStart w:id="330" w:name="_Toc151193848"/>
      <w:bookmarkStart w:id="331" w:name="_Toc264969224"/>
      <w:bookmarkStart w:id="332" w:name="_Toc150509285"/>
      <w:bookmarkStart w:id="333" w:name="_Toc265228372"/>
      <w:bookmarkStart w:id="334" w:name="_Toc151193704"/>
      <w:bookmarkStart w:id="335" w:name="_Toc127151534"/>
      <w:bookmarkStart w:id="336" w:name="_Toc150480772"/>
      <w:bookmarkStart w:id="337" w:name="_Toc305158802"/>
      <w:bookmarkStart w:id="338" w:name="_Toc305158876"/>
      <w:bookmarkStart w:id="339" w:name="_Toc520356159"/>
      <w:bookmarkStart w:id="340" w:name="_Toc151193922"/>
      <w:bookmarkStart w:id="341" w:name="_Toc151193632"/>
      <w:bookmarkStart w:id="342" w:name="_Toc226309778"/>
      <w:bookmarkStart w:id="343" w:name="_Toc226337230"/>
      <w:bookmarkStart w:id="344" w:name="_Toc151193776"/>
      <w:bookmarkStart w:id="345" w:name="_Toc195842899"/>
      <w:bookmarkStart w:id="346" w:name="_Toc142311036"/>
      <w:bookmarkStart w:id="347" w:name="_Toc150774634"/>
      <w:r>
        <w:rPr>
          <w:rFonts w:hint="eastAsia" w:ascii="宋体" w:hAnsi="宋体" w:eastAsia="宋体" w:cs="宋体"/>
          <w:color w:val="auto"/>
          <w:sz w:val="24"/>
          <w:szCs w:val="24"/>
          <w:highlight w:val="none"/>
          <w:lang w:val="en-US" w:eastAsia="zh-CN" w:bidi="ar-SA"/>
        </w:rPr>
        <w:t>13.1</w:t>
      </w:r>
      <w:r>
        <w:rPr>
          <w:rFonts w:hint="eastAsia" w:ascii="宋体" w:hAnsi="宋体" w:eastAsia="宋体" w:cs="宋体"/>
          <w:color w:val="auto"/>
          <w:sz w:val="24"/>
          <w:szCs w:val="24"/>
          <w:highlight w:val="none"/>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213FE4E7">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13.2</w:t>
      </w:r>
      <w:r>
        <w:rPr>
          <w:rFonts w:hint="eastAsia" w:ascii="宋体" w:hAnsi="宋体" w:eastAsia="宋体" w:cs="宋体"/>
          <w:color w:val="auto"/>
          <w:sz w:val="24"/>
          <w:szCs w:val="24"/>
          <w:highlight w:val="none"/>
        </w:rPr>
        <w:t>竞争性磋商文件要求盖章的内容，一般通过投标文件编制工具加盖电子签章。</w:t>
      </w:r>
    </w:p>
    <w:p w14:paraId="12B86867">
      <w:pPr>
        <w:pageBreakBefore w:val="0"/>
        <w:widowControl w:val="0"/>
        <w:tabs>
          <w:tab w:val="left" w:pos="900"/>
          <w:tab w:val="left" w:pos="108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p>
    <w:p w14:paraId="06FDD7FA">
      <w:pPr>
        <w:pStyle w:val="196"/>
        <w:pageBreakBefore w:val="0"/>
        <w:widowControl w:val="0"/>
        <w:kinsoku/>
        <w:wordWrap/>
        <w:overflowPunct/>
        <w:topLinePunct w:val="0"/>
        <w:autoSpaceDE/>
        <w:autoSpaceDN/>
        <w:bidi w:val="0"/>
        <w:adjustRightInd/>
        <w:spacing w:before="0" w:line="360" w:lineRule="auto"/>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   响应文件的提交</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14:paraId="11DCD55A">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bookmarkStart w:id="348" w:name="_Toc149720828"/>
      <w:bookmarkStart w:id="349" w:name="_Toc142311037"/>
      <w:bookmarkStart w:id="350" w:name="_Toc305158877"/>
      <w:bookmarkStart w:id="351" w:name="_Toc520356160"/>
      <w:bookmarkStart w:id="352" w:name="_Toc150509286"/>
      <w:bookmarkStart w:id="353" w:name="_Toc164608649"/>
      <w:bookmarkStart w:id="354" w:name="_Toc150774635"/>
      <w:bookmarkStart w:id="355" w:name="_Toc127161449"/>
      <w:bookmarkStart w:id="356" w:name="_Toc150774740"/>
      <w:bookmarkStart w:id="357" w:name="_Toc164351629"/>
      <w:bookmarkStart w:id="358" w:name="_Toc164229230"/>
      <w:bookmarkStart w:id="359" w:name="_Toc226337231"/>
      <w:bookmarkStart w:id="360" w:name="_Toc151190162"/>
      <w:bookmarkStart w:id="361" w:name="_Toc151193633"/>
      <w:bookmarkStart w:id="362" w:name="_Toc151193923"/>
      <w:bookmarkStart w:id="363" w:name="_Toc127151535"/>
      <w:bookmarkStart w:id="364" w:name="_Toc305158803"/>
      <w:bookmarkStart w:id="365" w:name="_Toc226965808"/>
      <w:bookmarkStart w:id="366" w:name="_Toc151193777"/>
      <w:bookmarkStart w:id="367" w:name="_Toc127151736"/>
      <w:bookmarkStart w:id="368" w:name="_Toc195842900"/>
      <w:bookmarkStart w:id="369" w:name="_Toc265228373"/>
      <w:bookmarkStart w:id="370" w:name="_Toc150480773"/>
      <w:bookmarkStart w:id="371" w:name="_Toc226965725"/>
      <w:bookmarkStart w:id="372" w:name="_Toc226309779"/>
      <w:bookmarkStart w:id="373" w:name="_Toc151193849"/>
      <w:bookmarkStart w:id="374" w:name="_Toc164608804"/>
      <w:bookmarkStart w:id="375" w:name="_Toc164229376"/>
      <w:bookmarkStart w:id="376" w:name="_Toc264969225"/>
      <w:bookmarkStart w:id="377" w:name="_Toc151193705"/>
      <w:r>
        <w:rPr>
          <w:rFonts w:hint="eastAsia" w:ascii="宋体" w:hAnsi="宋体" w:eastAsia="宋体" w:cs="宋体"/>
          <w:b/>
          <w:bCs/>
          <w:color w:val="auto"/>
          <w:sz w:val="24"/>
          <w:szCs w:val="24"/>
          <w:highlight w:val="none"/>
          <w:lang w:val="en-US" w:eastAsia="zh-CN" w:bidi="ar-SA"/>
        </w:rPr>
        <w:t>14</w:t>
      </w:r>
      <w:r>
        <w:rPr>
          <w:rFonts w:hint="eastAsia" w:ascii="宋体" w:hAnsi="宋体" w:eastAsia="宋体" w:cs="宋体"/>
          <w:b/>
          <w:bCs/>
          <w:color w:val="auto"/>
          <w:sz w:val="24"/>
          <w:szCs w:val="24"/>
          <w:highlight w:val="none"/>
        </w:rPr>
        <w:t>响应文件的</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rPr>
          <w:rFonts w:hint="eastAsia" w:ascii="宋体" w:hAnsi="宋体" w:eastAsia="宋体" w:cs="宋体"/>
          <w:b/>
          <w:bCs/>
          <w:color w:val="auto"/>
          <w:sz w:val="24"/>
          <w:szCs w:val="24"/>
          <w:highlight w:val="none"/>
        </w:rPr>
        <w:t>提交</w:t>
      </w:r>
    </w:p>
    <w:p w14:paraId="3F6F1137">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14.1</w:t>
      </w:r>
      <w:r>
        <w:rPr>
          <w:rFonts w:hint="eastAsia" w:ascii="宋体" w:hAnsi="宋体" w:eastAsia="宋体" w:cs="宋体"/>
          <w:color w:val="auto"/>
          <w:sz w:val="24"/>
          <w:szCs w:val="24"/>
          <w:highlight w:val="none"/>
        </w:rPr>
        <w:t>本项目使用“苏采云”政府采购一体化平台。供应商根据竞争性磋商文件及“苏采云”政府采购一体化平台供应商操作手册要求编制、生成并提交电子响应文件。</w:t>
      </w:r>
    </w:p>
    <w:p w14:paraId="06D4E4BA">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14.2</w:t>
      </w:r>
      <w:r>
        <w:rPr>
          <w:rFonts w:hint="eastAsia" w:ascii="宋体" w:hAnsi="宋体" w:eastAsia="宋体" w:cs="宋体"/>
          <w:color w:val="auto"/>
          <w:sz w:val="24"/>
          <w:szCs w:val="24"/>
          <w:highlight w:val="none"/>
        </w:rPr>
        <w:t>采购人及采购代理机构拒绝接受通过电子交易平台以外任何形式提交的响应文件，磋商保证金除外。</w:t>
      </w:r>
    </w:p>
    <w:p w14:paraId="6AFE5D0F">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bookmarkStart w:id="378" w:name="_Toc151193634"/>
      <w:bookmarkStart w:id="379" w:name="_Toc127151536"/>
      <w:bookmarkStart w:id="380" w:name="_Toc151190163"/>
      <w:bookmarkStart w:id="381" w:name="_Toc305158878"/>
      <w:bookmarkStart w:id="382" w:name="_Toc226965726"/>
      <w:bookmarkStart w:id="383" w:name="_Toc151193850"/>
      <w:bookmarkStart w:id="384" w:name="_Toc164608650"/>
      <w:bookmarkStart w:id="385" w:name="_Toc151193778"/>
      <w:bookmarkStart w:id="386" w:name="_Toc226337232"/>
      <w:bookmarkStart w:id="387" w:name="_Toc520356161"/>
      <w:bookmarkStart w:id="388" w:name="_Toc164229377"/>
      <w:bookmarkStart w:id="389" w:name="_Toc127151737"/>
      <w:bookmarkStart w:id="390" w:name="_Toc142311038"/>
      <w:bookmarkStart w:id="391" w:name="_Toc151193924"/>
      <w:bookmarkStart w:id="392" w:name="_Toc127161450"/>
      <w:bookmarkStart w:id="393" w:name="_Toc226965809"/>
      <w:bookmarkStart w:id="394" w:name="_Toc164351630"/>
      <w:bookmarkStart w:id="395" w:name="_Toc150480774"/>
      <w:bookmarkStart w:id="396" w:name="_Toc149720829"/>
      <w:bookmarkStart w:id="397" w:name="_Toc150774636"/>
      <w:bookmarkStart w:id="398" w:name="_Toc265228374"/>
      <w:bookmarkStart w:id="399" w:name="_Toc150509287"/>
      <w:bookmarkStart w:id="400" w:name="_Toc195842901"/>
      <w:bookmarkStart w:id="401" w:name="_Toc264969226"/>
      <w:bookmarkStart w:id="402" w:name="_Toc150774741"/>
      <w:bookmarkStart w:id="403" w:name="_Toc305158804"/>
      <w:bookmarkStart w:id="404" w:name="_Toc151193706"/>
      <w:bookmarkStart w:id="405" w:name="_Toc226309780"/>
      <w:bookmarkStart w:id="406" w:name="_Toc164608805"/>
      <w:bookmarkStart w:id="407" w:name="_Toc164229231"/>
      <w:r>
        <w:rPr>
          <w:rFonts w:hint="eastAsia" w:ascii="宋体" w:hAnsi="宋体" w:eastAsia="宋体" w:cs="宋体"/>
          <w:b/>
          <w:bCs/>
          <w:color w:val="auto"/>
          <w:sz w:val="24"/>
          <w:szCs w:val="24"/>
          <w:highlight w:val="none"/>
          <w:lang w:val="en-US" w:eastAsia="zh-CN" w:bidi="ar-SA"/>
        </w:rPr>
        <w:t>15</w:t>
      </w:r>
      <w:r>
        <w:rPr>
          <w:rFonts w:hint="eastAsia" w:ascii="宋体" w:hAnsi="宋体" w:eastAsia="宋体" w:cs="宋体"/>
          <w:b/>
          <w:bCs/>
          <w:color w:val="auto"/>
          <w:sz w:val="24"/>
          <w:szCs w:val="24"/>
          <w:highlight w:val="none"/>
        </w:rPr>
        <w:t>响应文件截止</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Pr>
          <w:rFonts w:hint="eastAsia" w:ascii="宋体" w:hAnsi="宋体" w:eastAsia="宋体" w:cs="宋体"/>
          <w:b/>
          <w:bCs/>
          <w:color w:val="auto"/>
          <w:sz w:val="24"/>
          <w:szCs w:val="24"/>
          <w:highlight w:val="none"/>
        </w:rPr>
        <w:t>时间</w:t>
      </w:r>
    </w:p>
    <w:p w14:paraId="43E80A38">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15.1</w:t>
      </w:r>
      <w:r>
        <w:rPr>
          <w:rFonts w:hint="eastAsia" w:ascii="宋体" w:hAnsi="宋体" w:eastAsia="宋体" w:cs="宋体"/>
          <w:color w:val="auto"/>
          <w:sz w:val="24"/>
          <w:szCs w:val="24"/>
          <w:highlight w:val="none"/>
        </w:rPr>
        <w:t>供应商应在竞争性磋商文件要求提交响应文件截止时间前，将电子响应文件提交至“苏采云”政府采购一体化平台。</w:t>
      </w:r>
    </w:p>
    <w:p w14:paraId="2320307A">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bookmarkStart w:id="408" w:name="_Toc265228375"/>
      <w:bookmarkStart w:id="409" w:name="_Toc127151537"/>
      <w:bookmarkStart w:id="410" w:name="_Toc151193851"/>
      <w:bookmarkStart w:id="411" w:name="_Toc164351631"/>
      <w:bookmarkStart w:id="412" w:name="_Toc226965810"/>
      <w:bookmarkStart w:id="413" w:name="_Toc127151738"/>
      <w:bookmarkStart w:id="414" w:name="_Toc127161451"/>
      <w:bookmarkStart w:id="415" w:name="_Toc142311039"/>
      <w:bookmarkStart w:id="416" w:name="_Toc151190164"/>
      <w:bookmarkStart w:id="417" w:name="_Toc164608806"/>
      <w:bookmarkStart w:id="418" w:name="_Toc151193779"/>
      <w:bookmarkStart w:id="419" w:name="_Toc195842902"/>
      <w:bookmarkStart w:id="420" w:name="_Toc150774637"/>
      <w:bookmarkStart w:id="421" w:name="_Toc150480775"/>
      <w:bookmarkStart w:id="422" w:name="_Toc150774742"/>
      <w:bookmarkStart w:id="423" w:name="_Toc305158805"/>
      <w:bookmarkStart w:id="424" w:name="_Toc151193635"/>
      <w:bookmarkStart w:id="425" w:name="_Toc226965727"/>
      <w:bookmarkStart w:id="426" w:name="_Toc151193925"/>
      <w:bookmarkStart w:id="427" w:name="_Toc226337233"/>
      <w:bookmarkStart w:id="428" w:name="_Toc164608651"/>
      <w:bookmarkStart w:id="429" w:name="_Toc305158879"/>
      <w:bookmarkStart w:id="430" w:name="_Toc149720830"/>
      <w:bookmarkStart w:id="431" w:name="_Toc264969227"/>
      <w:bookmarkStart w:id="432" w:name="_Toc150509288"/>
      <w:bookmarkStart w:id="433" w:name="_Toc164229232"/>
      <w:bookmarkStart w:id="434" w:name="_Toc164229378"/>
      <w:bookmarkStart w:id="435" w:name="_Toc151193707"/>
      <w:bookmarkStart w:id="436" w:name="_Toc226309781"/>
      <w:bookmarkStart w:id="437" w:name="_Toc520356162"/>
      <w:r>
        <w:rPr>
          <w:rFonts w:hint="eastAsia" w:ascii="宋体" w:hAnsi="宋体" w:eastAsia="宋体" w:cs="宋体"/>
          <w:b/>
          <w:bCs/>
          <w:color w:val="auto"/>
          <w:sz w:val="24"/>
          <w:szCs w:val="24"/>
          <w:highlight w:val="none"/>
          <w:lang w:val="en-US" w:eastAsia="zh-CN" w:bidi="ar-SA"/>
        </w:rPr>
        <w:t>16</w:t>
      </w:r>
      <w:r>
        <w:rPr>
          <w:rFonts w:hint="eastAsia" w:ascii="宋体" w:hAnsi="宋体" w:eastAsia="宋体" w:cs="宋体"/>
          <w:b/>
          <w:bCs/>
          <w:color w:val="auto"/>
          <w:sz w:val="24"/>
          <w:szCs w:val="24"/>
          <w:highlight w:val="none"/>
        </w:rPr>
        <w:t>响应文件的修改与撤回</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49E6408E">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16.1</w:t>
      </w:r>
      <w:r>
        <w:rPr>
          <w:rFonts w:hint="eastAsia" w:ascii="宋体" w:hAnsi="宋体" w:eastAsia="宋体" w:cs="宋体"/>
          <w:color w:val="auto"/>
          <w:sz w:val="24"/>
          <w:szCs w:val="24"/>
          <w:highlight w:val="none"/>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3FBBF2BB">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16.2</w:t>
      </w:r>
      <w:r>
        <w:rPr>
          <w:rFonts w:hint="eastAsia" w:ascii="宋体" w:hAnsi="宋体" w:eastAsia="宋体" w:cs="宋体"/>
          <w:color w:val="auto"/>
          <w:sz w:val="24"/>
          <w:szCs w:val="24"/>
          <w:highlight w:val="none"/>
        </w:rPr>
        <w:t>供应商对响应文件的补充、修改的内容应当按照竞争性磋商文件要求签署、盖章，作为响应文件的组成部分。补充、修改的内容与响应文件不一致的，以补充、修改的内容为准。</w:t>
      </w:r>
    </w:p>
    <w:p w14:paraId="2F9B7D1A">
      <w:pPr>
        <w:pageBreakBefore w:val="0"/>
        <w:widowControl w:val="0"/>
        <w:tabs>
          <w:tab w:val="left" w:pos="900"/>
          <w:tab w:val="left" w:pos="1080"/>
          <w:tab w:val="left" w:pos="1589"/>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p>
    <w:p w14:paraId="10891C84">
      <w:pPr>
        <w:pStyle w:val="196"/>
        <w:pageBreakBefore w:val="0"/>
        <w:widowControl w:val="0"/>
        <w:kinsoku/>
        <w:wordWrap/>
        <w:overflowPunct/>
        <w:topLinePunct w:val="0"/>
        <w:autoSpaceDE/>
        <w:autoSpaceDN/>
        <w:bidi w:val="0"/>
        <w:adjustRightInd/>
        <w:spacing w:before="0" w:line="360" w:lineRule="auto"/>
        <w:ind w:left="0" w:firstLine="482" w:firstLineChars="200"/>
        <w:textAlignment w:val="auto"/>
        <w:rPr>
          <w:rFonts w:hint="eastAsia" w:ascii="宋体" w:hAnsi="宋体" w:eastAsia="宋体" w:cs="宋体"/>
          <w:color w:val="auto"/>
          <w:sz w:val="24"/>
          <w:szCs w:val="24"/>
          <w:highlight w:val="none"/>
        </w:rPr>
      </w:pPr>
      <w:bookmarkStart w:id="438" w:name="_Toc226309782"/>
      <w:bookmarkStart w:id="439" w:name="_Toc151193852"/>
      <w:bookmarkStart w:id="440" w:name="_Toc150480776"/>
      <w:bookmarkStart w:id="441" w:name="_Toc151190165"/>
      <w:bookmarkStart w:id="442" w:name="_Toc151193708"/>
      <w:bookmarkStart w:id="443" w:name="_Toc150774743"/>
      <w:bookmarkStart w:id="444" w:name="_Toc305158880"/>
      <w:bookmarkStart w:id="445" w:name="_Toc151193636"/>
      <w:bookmarkStart w:id="446" w:name="_Toc151193780"/>
      <w:bookmarkStart w:id="447" w:name="_Toc520356163"/>
      <w:bookmarkStart w:id="448" w:name="_Toc226337234"/>
      <w:bookmarkStart w:id="449" w:name="_Toc142311040"/>
      <w:bookmarkStart w:id="450" w:name="_Toc265228376"/>
      <w:bookmarkStart w:id="451" w:name="_Toc226965728"/>
      <w:bookmarkStart w:id="452" w:name="_Toc151193926"/>
      <w:bookmarkStart w:id="453" w:name="_Toc127151538"/>
      <w:bookmarkStart w:id="454" w:name="_Toc150774638"/>
      <w:bookmarkStart w:id="455" w:name="_Toc195842903"/>
      <w:bookmarkStart w:id="456" w:name="_Toc305158806"/>
      <w:bookmarkStart w:id="457" w:name="_Toc150509289"/>
      <w:bookmarkStart w:id="458" w:name="_Toc226965811"/>
      <w:bookmarkStart w:id="459" w:name="_Toc264969228"/>
      <w:r>
        <w:rPr>
          <w:rFonts w:hint="eastAsia" w:ascii="宋体" w:hAnsi="宋体" w:eastAsia="宋体" w:cs="宋体"/>
          <w:color w:val="auto"/>
          <w:sz w:val="24"/>
          <w:szCs w:val="24"/>
          <w:highlight w:val="none"/>
        </w:rPr>
        <w:t xml:space="preserve">五   </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Pr>
          <w:rFonts w:hint="eastAsia" w:ascii="宋体" w:hAnsi="宋体" w:eastAsia="宋体" w:cs="宋体"/>
          <w:color w:val="auto"/>
          <w:sz w:val="24"/>
          <w:szCs w:val="24"/>
          <w:highlight w:val="none"/>
        </w:rPr>
        <w:t>评审</w:t>
      </w:r>
    </w:p>
    <w:p w14:paraId="2646A86C">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17</w:t>
      </w:r>
      <w:r>
        <w:rPr>
          <w:rFonts w:hint="eastAsia" w:ascii="宋体" w:hAnsi="宋体" w:eastAsia="宋体" w:cs="宋体"/>
          <w:b/>
          <w:bCs/>
          <w:color w:val="auto"/>
          <w:sz w:val="24"/>
          <w:szCs w:val="24"/>
          <w:highlight w:val="none"/>
        </w:rPr>
        <w:t>响应文件的解密与开启</w:t>
      </w:r>
    </w:p>
    <w:p w14:paraId="3C1FCB51">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17.1</w:t>
      </w:r>
      <w:r>
        <w:rPr>
          <w:rFonts w:hint="eastAsia" w:ascii="宋体" w:hAnsi="宋体" w:eastAsia="宋体" w:cs="宋体"/>
          <w:color w:val="auto"/>
          <w:sz w:val="24"/>
          <w:szCs w:val="24"/>
          <w:highlight w:val="none"/>
        </w:rPr>
        <w:t>采购人或采购代理机构将按竞争性磋商文件的规定，在响应文件提交截止时间的同一时间和竞争性磋商文件预先确定的地点开启响应文件。</w:t>
      </w:r>
    </w:p>
    <w:p w14:paraId="377F878E">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17.2</w:t>
      </w:r>
      <w:r>
        <w:rPr>
          <w:rFonts w:hint="eastAsia" w:ascii="宋体" w:hAnsi="宋体" w:eastAsia="宋体" w:cs="宋体"/>
          <w:color w:val="auto"/>
          <w:sz w:val="24"/>
          <w:szCs w:val="24"/>
          <w:highlight w:val="none"/>
        </w:rPr>
        <w:t>本项目采用不见面交易模式，使用“苏采云”政府采购一体化平台在线进行解密。供应商应在规定的时间内对响应文件进行解密，因非系统原因导致的解密失败，视为</w:t>
      </w:r>
      <w:r>
        <w:rPr>
          <w:rFonts w:hint="eastAsia" w:ascii="宋体" w:hAnsi="宋体" w:eastAsia="宋体" w:cs="宋体"/>
          <w:b/>
          <w:color w:val="auto"/>
          <w:sz w:val="24"/>
          <w:szCs w:val="24"/>
          <w:highlight w:val="none"/>
        </w:rPr>
        <w:t>响应无效</w:t>
      </w:r>
      <w:r>
        <w:rPr>
          <w:rFonts w:hint="eastAsia" w:ascii="宋体" w:hAnsi="宋体" w:eastAsia="宋体" w:cs="宋体"/>
          <w:color w:val="auto"/>
          <w:sz w:val="24"/>
          <w:szCs w:val="24"/>
          <w:highlight w:val="none"/>
        </w:rPr>
        <w:t>。</w:t>
      </w:r>
    </w:p>
    <w:p w14:paraId="1642DB2D">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17.3</w:t>
      </w:r>
      <w:r>
        <w:rPr>
          <w:rFonts w:hint="eastAsia" w:ascii="宋体" w:hAnsi="宋体" w:eastAsia="宋体" w:cs="宋体"/>
          <w:color w:val="auto"/>
          <w:sz w:val="24"/>
          <w:szCs w:val="24"/>
          <w:highlight w:val="none"/>
        </w:rPr>
        <w:t>供应商不足3家的，不予解密。</w:t>
      </w:r>
    </w:p>
    <w:p w14:paraId="412B31F0">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bookmarkStart w:id="460" w:name="_Toc520356165"/>
      <w:r>
        <w:rPr>
          <w:rFonts w:hint="eastAsia" w:ascii="宋体" w:hAnsi="宋体" w:eastAsia="宋体" w:cs="宋体"/>
          <w:color w:val="auto"/>
          <w:sz w:val="24"/>
          <w:szCs w:val="24"/>
          <w:highlight w:val="none"/>
          <w:lang w:val="en-US" w:eastAsia="zh-CN" w:bidi="ar-SA"/>
        </w:rPr>
        <w:t>17.4</w:t>
      </w:r>
      <w:r>
        <w:rPr>
          <w:rFonts w:hint="eastAsia" w:ascii="宋体" w:hAnsi="宋体" w:eastAsia="宋体" w:cs="宋体"/>
          <w:color w:val="auto"/>
          <w:sz w:val="24"/>
          <w:szCs w:val="24"/>
          <w:highlight w:val="none"/>
        </w:rPr>
        <w:t>本项目不公开报价。</w:t>
      </w:r>
    </w:p>
    <w:p w14:paraId="4055E5A3">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17.5</w:t>
      </w:r>
      <w:r>
        <w:rPr>
          <w:rFonts w:hint="eastAsia" w:ascii="宋体" w:hAnsi="宋体" w:eastAsia="宋体" w:cs="宋体"/>
          <w:color w:val="auto"/>
          <w:sz w:val="24"/>
          <w:szCs w:val="24"/>
          <w:highlight w:val="none"/>
        </w:rPr>
        <w:t>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p>
    <w:p w14:paraId="0C459864">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17.6</w:t>
      </w:r>
      <w:r>
        <w:rPr>
          <w:rFonts w:hint="eastAsia" w:ascii="宋体" w:hAnsi="宋体" w:eastAsia="宋体" w:cs="宋体"/>
          <w:color w:val="auto"/>
          <w:sz w:val="24"/>
          <w:szCs w:val="24"/>
          <w:highlight w:val="none"/>
        </w:rPr>
        <w:t>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p>
    <w:p w14:paraId="1C14EF2F">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17.7</w:t>
      </w:r>
      <w:r>
        <w:rPr>
          <w:rFonts w:hint="eastAsia" w:ascii="宋体" w:hAnsi="宋体" w:eastAsia="宋体" w:cs="宋体"/>
          <w:color w:val="auto"/>
          <w:sz w:val="24"/>
          <w:szCs w:val="24"/>
          <w:highlight w:val="none"/>
        </w:rPr>
        <w:t>如果在采购活动过程中出现以下情形，导致“苏采云”政府采购一体化平台无法正常运行，或者无法保证本项目采购活动的公平、公正和安全时，代理机构可以延缓或者暂停采购活动，情况严重的可以终止采购活动：1)平台系统发生故障而无法登录访问的；</w:t>
      </w:r>
    </w:p>
    <w:p w14:paraId="5286E0D1">
      <w:pPr>
        <w:pageBreakBefore w:val="0"/>
        <w:widowControl w:val="0"/>
        <w:tabs>
          <w:tab w:val="left" w:pos="1080"/>
          <w:tab w:val="left" w:pos="1589"/>
          <w:tab w:val="left" w:pos="2014"/>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2)平台系统应用或数据库出现错误，不能进行正常操作的；</w:t>
      </w:r>
    </w:p>
    <w:p w14:paraId="15DF95C6">
      <w:pPr>
        <w:pageBreakBefore w:val="0"/>
        <w:widowControl w:val="0"/>
        <w:tabs>
          <w:tab w:val="left" w:pos="1080"/>
          <w:tab w:val="left" w:pos="1589"/>
          <w:tab w:val="left" w:pos="2014"/>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3)平台系统发现严重安全漏洞，有潜在泄密危险的；</w:t>
      </w:r>
    </w:p>
    <w:p w14:paraId="7F61291B">
      <w:pPr>
        <w:pageBreakBefore w:val="0"/>
        <w:widowControl w:val="0"/>
        <w:tabs>
          <w:tab w:val="left" w:pos="1080"/>
          <w:tab w:val="left" w:pos="1589"/>
          <w:tab w:val="left" w:pos="2014"/>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4)病毒发作导致平台系统不能进行正常操作的；</w:t>
      </w:r>
    </w:p>
    <w:p w14:paraId="20A91FC5">
      <w:pPr>
        <w:pageBreakBefore w:val="0"/>
        <w:widowControl w:val="0"/>
        <w:tabs>
          <w:tab w:val="left" w:pos="1080"/>
          <w:tab w:val="left" w:pos="1589"/>
          <w:tab w:val="left" w:pos="2014"/>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5)其他无法保证本次采购活动的公平、公正和安全的情况。</w:t>
      </w:r>
    </w:p>
    <w:p w14:paraId="46FCD0D7">
      <w:pPr>
        <w:pageBreakBefore w:val="0"/>
        <w:widowControl w:val="0"/>
        <w:tabs>
          <w:tab w:val="left" w:pos="993"/>
          <w:tab w:val="left" w:pos="1589"/>
          <w:tab w:val="left" w:pos="2014"/>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bookmarkEnd w:id="460"/>
    <w:p w14:paraId="4CDD2174">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18</w:t>
      </w:r>
      <w:r>
        <w:rPr>
          <w:rFonts w:hint="eastAsia" w:ascii="宋体" w:hAnsi="宋体" w:eastAsia="宋体" w:cs="宋体"/>
          <w:b/>
          <w:bCs/>
          <w:color w:val="auto"/>
          <w:sz w:val="24"/>
          <w:szCs w:val="24"/>
          <w:highlight w:val="none"/>
        </w:rPr>
        <w:t>磋商小组</w:t>
      </w:r>
    </w:p>
    <w:p w14:paraId="6F66E96A">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18.1</w:t>
      </w:r>
      <w:r>
        <w:rPr>
          <w:rFonts w:hint="eastAsia" w:ascii="宋体" w:hAnsi="宋体" w:eastAsia="宋体" w:cs="宋体"/>
          <w:color w:val="auto"/>
          <w:sz w:val="24"/>
          <w:szCs w:val="24"/>
          <w:highlight w:val="none"/>
        </w:rPr>
        <w:t>磋商小组根据政府采购有关规定和本次采购项目的特点进行组建，并负责具体评审事务，独立履行职责。</w:t>
      </w:r>
      <w:bookmarkStart w:id="461" w:name="_Toc520356166"/>
    </w:p>
    <w:p w14:paraId="79B47B64">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18.2</w:t>
      </w:r>
      <w:r>
        <w:rPr>
          <w:rFonts w:hint="eastAsia" w:ascii="宋体" w:hAnsi="宋体" w:eastAsia="宋体" w:cs="宋体"/>
          <w:color w:val="auto"/>
          <w:sz w:val="24"/>
          <w:szCs w:val="24"/>
          <w:highlight w:val="none"/>
        </w:rPr>
        <w:t>评审专家须符合相关规定。依法自行选定评审专家的，采购人和采购代理机构将查询有关信用记录，对具有行贿、受贿、欺诈等不良信用记录的人员，拒绝其参与政府采购活动。</w:t>
      </w:r>
      <w:bookmarkEnd w:id="461"/>
      <w:bookmarkStart w:id="462" w:name="_Toc520356169"/>
    </w:p>
    <w:p w14:paraId="0B883822">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19</w:t>
      </w:r>
      <w:r>
        <w:rPr>
          <w:rFonts w:hint="eastAsia" w:ascii="宋体" w:hAnsi="宋体" w:eastAsia="宋体" w:cs="宋体"/>
          <w:b/>
          <w:bCs/>
          <w:color w:val="auto"/>
          <w:sz w:val="24"/>
          <w:szCs w:val="24"/>
          <w:highlight w:val="none"/>
        </w:rPr>
        <w:t>评审方法和评审标准</w:t>
      </w:r>
    </w:p>
    <w:p w14:paraId="46B5BA01">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19.1</w:t>
      </w:r>
      <w:r>
        <w:rPr>
          <w:rFonts w:hint="eastAsia" w:ascii="宋体" w:hAnsi="宋体" w:eastAsia="宋体" w:cs="宋体"/>
          <w:color w:val="auto"/>
          <w:sz w:val="24"/>
          <w:szCs w:val="24"/>
          <w:highlight w:val="none"/>
        </w:rPr>
        <w:t>见第三章《评审方法和评审标准》。</w:t>
      </w:r>
    </w:p>
    <w:p w14:paraId="30187070">
      <w:pPr>
        <w:pageBreakBefore w:val="0"/>
        <w:widowControl w:val="0"/>
        <w:tabs>
          <w:tab w:val="left" w:pos="360"/>
          <w:tab w:val="left" w:pos="108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p>
    <w:p w14:paraId="51409B3E">
      <w:pPr>
        <w:pStyle w:val="196"/>
        <w:pageBreakBefore w:val="0"/>
        <w:widowControl w:val="0"/>
        <w:kinsoku/>
        <w:wordWrap/>
        <w:overflowPunct/>
        <w:topLinePunct w:val="0"/>
        <w:autoSpaceDE/>
        <w:autoSpaceDN/>
        <w:bidi w:val="0"/>
        <w:adjustRightInd/>
        <w:spacing w:before="0" w:line="360" w:lineRule="auto"/>
        <w:ind w:left="0" w:firstLine="482" w:firstLineChars="200"/>
        <w:textAlignment w:val="auto"/>
        <w:rPr>
          <w:rFonts w:hint="eastAsia" w:ascii="宋体" w:hAnsi="宋体" w:eastAsia="宋体" w:cs="宋体"/>
          <w:color w:val="auto"/>
          <w:sz w:val="24"/>
          <w:szCs w:val="24"/>
          <w:highlight w:val="none"/>
        </w:rPr>
      </w:pPr>
      <w:bookmarkStart w:id="463" w:name="_Toc264969235"/>
      <w:bookmarkStart w:id="464" w:name="_Toc151193787"/>
      <w:bookmarkStart w:id="465" w:name="_Toc151193643"/>
      <w:bookmarkStart w:id="466" w:name="_Toc150774645"/>
      <w:bookmarkStart w:id="467" w:name="_Toc150480783"/>
      <w:bookmarkStart w:id="468" w:name="_Toc150509296"/>
      <w:bookmarkStart w:id="469" w:name="_Toc226309789"/>
      <w:bookmarkStart w:id="470" w:name="_Toc305158813"/>
      <w:bookmarkStart w:id="471" w:name="_Toc142311047"/>
      <w:bookmarkStart w:id="472" w:name="_Toc127151545"/>
      <w:bookmarkStart w:id="473" w:name="_Toc226337241"/>
      <w:bookmarkStart w:id="474" w:name="_Toc305158887"/>
      <w:bookmarkStart w:id="475" w:name="_Toc150774750"/>
      <w:bookmarkStart w:id="476" w:name="_Toc151190172"/>
      <w:bookmarkStart w:id="477" w:name="_Toc151193859"/>
      <w:bookmarkStart w:id="478" w:name="_Toc226965735"/>
      <w:bookmarkStart w:id="479" w:name="_Toc265228383"/>
      <w:bookmarkStart w:id="480" w:name="_Toc151193933"/>
      <w:bookmarkStart w:id="481" w:name="_Toc151193715"/>
      <w:bookmarkStart w:id="482" w:name="_Toc226965818"/>
      <w:bookmarkStart w:id="483" w:name="_Toc195842910"/>
      <w:r>
        <w:rPr>
          <w:rFonts w:hint="eastAsia" w:ascii="宋体" w:hAnsi="宋体" w:eastAsia="宋体" w:cs="宋体"/>
          <w:color w:val="auto"/>
          <w:sz w:val="24"/>
          <w:szCs w:val="24"/>
          <w:highlight w:val="none"/>
        </w:rPr>
        <w:t xml:space="preserve">六   </w:t>
      </w:r>
      <w:bookmarkEnd w:id="462"/>
      <w:r>
        <w:rPr>
          <w:rFonts w:hint="eastAsia" w:ascii="宋体" w:hAnsi="宋体" w:eastAsia="宋体" w:cs="宋体"/>
          <w:color w:val="auto"/>
          <w:sz w:val="24"/>
          <w:szCs w:val="24"/>
          <w:highlight w:val="none"/>
        </w:rPr>
        <w:t>确定</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rFonts w:hint="eastAsia" w:ascii="宋体" w:hAnsi="宋体" w:eastAsia="宋体" w:cs="宋体"/>
          <w:color w:val="auto"/>
          <w:sz w:val="24"/>
          <w:szCs w:val="24"/>
          <w:highlight w:val="none"/>
        </w:rPr>
        <w:t>成交</w:t>
      </w:r>
    </w:p>
    <w:p w14:paraId="117950BE">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bookmarkStart w:id="484" w:name="_Toc150480785"/>
      <w:bookmarkStart w:id="485" w:name="_Toc195842912"/>
      <w:bookmarkStart w:id="486" w:name="_Toc151193645"/>
      <w:bookmarkStart w:id="487" w:name="_Toc264969237"/>
      <w:bookmarkStart w:id="488" w:name="_Toc305158815"/>
      <w:bookmarkStart w:id="489" w:name="_Toc149720840"/>
      <w:bookmarkStart w:id="490" w:name="_Toc127151748"/>
      <w:bookmarkStart w:id="491" w:name="_Toc164351641"/>
      <w:bookmarkStart w:id="492" w:name="_Toc150774647"/>
      <w:bookmarkStart w:id="493" w:name="_Toc226965737"/>
      <w:bookmarkStart w:id="494" w:name="_Toc265228385"/>
      <w:bookmarkStart w:id="495" w:name="_Toc151193861"/>
      <w:bookmarkStart w:id="496" w:name="_Toc150774752"/>
      <w:bookmarkStart w:id="497" w:name="_Toc151193935"/>
      <w:bookmarkStart w:id="498" w:name="_Toc164229242"/>
      <w:bookmarkStart w:id="499" w:name="_Toc142311049"/>
      <w:bookmarkStart w:id="500" w:name="_Toc151190174"/>
      <w:bookmarkStart w:id="501" w:name="_Toc226337243"/>
      <w:bookmarkStart w:id="502" w:name="_Toc151193789"/>
      <w:bookmarkStart w:id="503" w:name="_Toc164608661"/>
      <w:bookmarkStart w:id="504" w:name="_Toc226965820"/>
      <w:bookmarkStart w:id="505" w:name="_Toc127161461"/>
      <w:bookmarkStart w:id="506" w:name="_Toc226309791"/>
      <w:bookmarkStart w:id="507" w:name="_Toc150509298"/>
      <w:bookmarkStart w:id="508" w:name="_Toc305158889"/>
      <w:bookmarkStart w:id="509" w:name="_Toc164229388"/>
      <w:bookmarkStart w:id="510" w:name="_Toc127151547"/>
      <w:bookmarkStart w:id="511" w:name="_Toc151193717"/>
      <w:bookmarkStart w:id="512" w:name="_Toc164608816"/>
      <w:r>
        <w:rPr>
          <w:rFonts w:hint="eastAsia" w:ascii="宋体" w:hAnsi="宋体" w:eastAsia="宋体" w:cs="宋体"/>
          <w:b/>
          <w:bCs/>
          <w:color w:val="auto"/>
          <w:sz w:val="24"/>
          <w:szCs w:val="24"/>
          <w:highlight w:val="none"/>
          <w:lang w:val="en-US" w:eastAsia="zh-CN" w:bidi="ar-SA"/>
        </w:rPr>
        <w:t>20</w:t>
      </w:r>
      <w:r>
        <w:rPr>
          <w:rFonts w:hint="eastAsia" w:ascii="宋体" w:hAnsi="宋体" w:eastAsia="宋体" w:cs="宋体"/>
          <w:b/>
          <w:bCs/>
          <w:color w:val="auto"/>
          <w:sz w:val="24"/>
          <w:szCs w:val="24"/>
          <w:highlight w:val="none"/>
        </w:rPr>
        <w:t>确定成交供应商</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265A46FA">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20.1</w:t>
      </w:r>
      <w:r>
        <w:rPr>
          <w:rFonts w:hint="eastAsia" w:ascii="宋体" w:hAnsi="宋体" w:eastAsia="宋体" w:cs="宋体"/>
          <w:color w:val="auto"/>
          <w:sz w:val="24"/>
          <w:szCs w:val="24"/>
          <w:highlight w:val="none"/>
        </w:rPr>
        <w:t>采购人将在收到评审报告后，从评审报告提出的成交候选供应商中，按照排序由高到低的原则确定成交供应商。成交候选人并列的，由采购人依法确定。</w:t>
      </w:r>
    </w:p>
    <w:p w14:paraId="6C8ACEA1">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bookmarkStart w:id="513" w:name="_Toc305158891"/>
      <w:bookmarkStart w:id="514" w:name="_Toc305158817"/>
      <w:bookmarkStart w:id="515" w:name="_Toc127161463"/>
      <w:bookmarkStart w:id="516" w:name="_Toc150774649"/>
      <w:bookmarkStart w:id="517" w:name="_Toc164351643"/>
      <w:bookmarkStart w:id="518" w:name="_Toc265228387"/>
      <w:bookmarkStart w:id="519" w:name="_Toc164229244"/>
      <w:bookmarkStart w:id="520" w:name="_Toc151193937"/>
      <w:bookmarkStart w:id="521" w:name="_Toc226965739"/>
      <w:bookmarkStart w:id="522" w:name="_Toc151193719"/>
      <w:bookmarkStart w:id="523" w:name="_Toc226337245"/>
      <w:bookmarkStart w:id="524" w:name="_Toc150774754"/>
      <w:bookmarkStart w:id="525" w:name="_Toc151190176"/>
      <w:bookmarkStart w:id="526" w:name="_Toc150509300"/>
      <w:bookmarkStart w:id="527" w:name="_Toc164229390"/>
      <w:bookmarkStart w:id="528" w:name="_Toc151193791"/>
      <w:bookmarkStart w:id="529" w:name="_Toc195842914"/>
      <w:bookmarkStart w:id="530" w:name="_Toc226965822"/>
      <w:bookmarkStart w:id="531" w:name="_Toc164608663"/>
      <w:bookmarkStart w:id="532" w:name="_Toc151193863"/>
      <w:bookmarkStart w:id="533" w:name="_Toc127151750"/>
      <w:bookmarkStart w:id="534" w:name="_Toc150480787"/>
      <w:bookmarkStart w:id="535" w:name="_Toc226309793"/>
      <w:bookmarkStart w:id="536" w:name="_Toc151193647"/>
      <w:bookmarkStart w:id="537" w:name="_Toc127151549"/>
      <w:bookmarkStart w:id="538" w:name="_Toc264969239"/>
      <w:bookmarkStart w:id="539" w:name="_Toc164608818"/>
      <w:bookmarkStart w:id="540" w:name="_Toc149720842"/>
      <w:bookmarkStart w:id="541" w:name="_Toc142311051"/>
      <w:bookmarkStart w:id="542" w:name="_Toc520356176"/>
      <w:bookmarkStart w:id="543" w:name="_Ref467306425"/>
      <w:bookmarkStart w:id="544" w:name="_Ref467307090"/>
      <w:r>
        <w:rPr>
          <w:rFonts w:hint="eastAsia" w:ascii="宋体" w:hAnsi="宋体" w:eastAsia="宋体" w:cs="宋体"/>
          <w:b/>
          <w:bCs/>
          <w:color w:val="auto"/>
          <w:sz w:val="24"/>
          <w:szCs w:val="24"/>
          <w:highlight w:val="none"/>
          <w:lang w:val="en-US" w:eastAsia="zh-CN" w:bidi="ar-SA"/>
        </w:rPr>
        <w:t>21</w:t>
      </w:r>
      <w:r>
        <w:rPr>
          <w:rFonts w:hint="eastAsia" w:ascii="宋体" w:hAnsi="宋体" w:eastAsia="宋体" w:cs="宋体"/>
          <w:b/>
          <w:bCs/>
          <w:color w:val="auto"/>
          <w:sz w:val="24"/>
          <w:szCs w:val="24"/>
          <w:highlight w:val="none"/>
        </w:rPr>
        <w:t>成交公告与成交通知书</w:t>
      </w:r>
      <w:bookmarkEnd w:id="513"/>
      <w:bookmarkEnd w:id="514"/>
    </w:p>
    <w:p w14:paraId="42192AED">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21.1</w:t>
      </w:r>
      <w:r>
        <w:rPr>
          <w:rFonts w:hint="eastAsia" w:ascii="宋体" w:hAnsi="宋体" w:eastAsia="宋体" w:cs="宋体"/>
          <w:color w:val="auto"/>
          <w:sz w:val="24"/>
          <w:szCs w:val="24"/>
          <w:highlight w:val="none"/>
        </w:rPr>
        <w:t>采购人或采购代理机构将在成交供应商确定后2个工作日内，在常州市政府采购网公告成交结果，同时向成交供应商发出成交通知书，成交公告期限为1个工作日。</w:t>
      </w:r>
    </w:p>
    <w:p w14:paraId="5BF2AD88">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21.2</w:t>
      </w:r>
      <w:r>
        <w:rPr>
          <w:rFonts w:hint="eastAsia" w:ascii="宋体" w:hAnsi="宋体" w:eastAsia="宋体" w:cs="宋体"/>
          <w:color w:val="auto"/>
          <w:sz w:val="24"/>
          <w:szCs w:val="24"/>
          <w:highlight w:val="none"/>
        </w:rPr>
        <w:t>成交通知书是合同的组成部分，对采购人和成交供应商具有同等法律效力。成交通知书发出后，采购人改变成交结果的，或者成交供应商放弃成交项目的，将依法承担法律责任。</w:t>
      </w:r>
    </w:p>
    <w:p w14:paraId="32357376">
      <w:pPr>
        <w:pageBreakBefore w:val="0"/>
        <w:widowControl w:val="0"/>
        <w:tabs>
          <w:tab w:val="left" w:pos="1080"/>
          <w:tab w:val="left" w:pos="1589"/>
          <w:tab w:val="left" w:pos="2014"/>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中标/成交结果公示内容按照《政府采购公告和公示信息格式规范（2020年版）》（财办库【2020】50号规定的“中标（成交）结果公告”内容，供应商每项具体明细得分不是公告内容。</w:t>
      </w:r>
    </w:p>
    <w:p w14:paraId="37539451">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22</w:t>
      </w:r>
      <w:r>
        <w:rPr>
          <w:rFonts w:hint="eastAsia" w:ascii="宋体" w:hAnsi="宋体" w:eastAsia="宋体" w:cs="宋体"/>
          <w:b/>
          <w:bCs/>
          <w:color w:val="auto"/>
          <w:sz w:val="24"/>
          <w:szCs w:val="24"/>
          <w:highlight w:val="none"/>
        </w:rPr>
        <w:t>终止</w:t>
      </w:r>
    </w:p>
    <w:p w14:paraId="0E3EDF42">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22.1</w:t>
      </w:r>
      <w:r>
        <w:rPr>
          <w:rFonts w:hint="eastAsia" w:ascii="宋体" w:hAnsi="宋体" w:eastAsia="宋体" w:cs="宋体"/>
          <w:color w:val="auto"/>
          <w:sz w:val="24"/>
          <w:szCs w:val="24"/>
          <w:highlight w:val="none"/>
        </w:rPr>
        <w:t>在采购中，出现下列情形之一的，采购人或采购代理机构将终止竞争性磋商采购活动，发布项目终止公告并说明原因，重新开展采购活动：</w:t>
      </w:r>
    </w:p>
    <w:p w14:paraId="7A7513CD">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22.1.1</w:t>
      </w:r>
      <w:r>
        <w:rPr>
          <w:rFonts w:hint="eastAsia" w:ascii="宋体" w:hAnsi="宋体" w:eastAsia="宋体" w:cs="宋体"/>
          <w:color w:val="auto"/>
          <w:sz w:val="24"/>
          <w:szCs w:val="24"/>
          <w:highlight w:val="none"/>
        </w:rPr>
        <w:t>因情况变化，不再符合规定的竞争性磋商采购方式适用情形的；</w:t>
      </w:r>
    </w:p>
    <w:p w14:paraId="0C2D6D5E">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22.1.2</w:t>
      </w:r>
      <w:r>
        <w:rPr>
          <w:rFonts w:hint="eastAsia" w:ascii="宋体" w:hAnsi="宋体" w:eastAsia="宋体" w:cs="宋体"/>
          <w:color w:val="auto"/>
          <w:sz w:val="24"/>
          <w:szCs w:val="24"/>
          <w:highlight w:val="none"/>
        </w:rPr>
        <w:t>出现影响采购公正的违法、违规行为的；</w:t>
      </w:r>
    </w:p>
    <w:p w14:paraId="40CB9C26">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22.1.3</w:t>
      </w:r>
      <w:r>
        <w:rPr>
          <w:rFonts w:hint="eastAsia" w:ascii="宋体" w:hAnsi="宋体" w:eastAsia="宋体" w:cs="宋体"/>
          <w:color w:val="auto"/>
          <w:sz w:val="24"/>
          <w:szCs w:val="24"/>
          <w:highlight w:val="none"/>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29782B4E">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22.1.4</w:t>
      </w:r>
      <w:r>
        <w:rPr>
          <w:rFonts w:hint="eastAsia" w:ascii="宋体" w:hAnsi="宋体" w:eastAsia="宋体" w:cs="宋体"/>
          <w:color w:val="auto"/>
          <w:spacing w:val="2"/>
          <w:sz w:val="24"/>
          <w:szCs w:val="24"/>
          <w:highlight w:val="none"/>
        </w:rPr>
        <w:t>平台系统</w:t>
      </w:r>
      <w:r>
        <w:rPr>
          <w:rFonts w:hint="eastAsia" w:ascii="宋体" w:hAnsi="宋体" w:eastAsia="宋体" w:cs="宋体"/>
          <w:color w:val="auto"/>
          <w:sz w:val="24"/>
          <w:szCs w:val="24"/>
          <w:highlight w:val="none"/>
        </w:rPr>
        <w:t>出现序号17.7的所述情形，情况严重且影响采购活动公平、公正性的。</w:t>
      </w:r>
    </w:p>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14:paraId="244F8129">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bookmarkStart w:id="545" w:name="_Ref467307062"/>
      <w:bookmarkStart w:id="546" w:name="_Toc264969240"/>
      <w:bookmarkStart w:id="547" w:name="_Toc151190177"/>
      <w:bookmarkStart w:id="548" w:name="_Toc195842915"/>
      <w:bookmarkStart w:id="549" w:name="_Toc142311052"/>
      <w:bookmarkStart w:id="550" w:name="_Toc226337246"/>
      <w:bookmarkStart w:id="551" w:name="_Toc150509301"/>
      <w:bookmarkStart w:id="552" w:name="_Toc164229391"/>
      <w:bookmarkStart w:id="553" w:name="_Toc164608664"/>
      <w:bookmarkStart w:id="554" w:name="_Toc127151751"/>
      <w:bookmarkStart w:id="555" w:name="_Toc151193720"/>
      <w:bookmarkStart w:id="556" w:name="_Toc150774755"/>
      <w:bookmarkStart w:id="557" w:name="_Ref467306978"/>
      <w:bookmarkStart w:id="558" w:name="_Toc520356175"/>
      <w:bookmarkStart w:id="559" w:name="_Toc151193938"/>
      <w:bookmarkStart w:id="560" w:name="_Toc151193792"/>
      <w:bookmarkStart w:id="561" w:name="_Toc305158892"/>
      <w:bookmarkStart w:id="562" w:name="_Toc127161464"/>
      <w:bookmarkStart w:id="563" w:name="_Ref467307204"/>
      <w:bookmarkStart w:id="564" w:name="_Toc149720843"/>
      <w:bookmarkStart w:id="565" w:name="_Toc226965740"/>
      <w:bookmarkStart w:id="566" w:name="_Toc265228388"/>
      <w:bookmarkStart w:id="567" w:name="_Toc151193864"/>
      <w:bookmarkStart w:id="568" w:name="_Toc164608819"/>
      <w:bookmarkStart w:id="569" w:name="_Toc164351644"/>
      <w:bookmarkStart w:id="570" w:name="_Toc127151550"/>
      <w:bookmarkStart w:id="571" w:name="_Ref467306377"/>
      <w:bookmarkStart w:id="572" w:name="_Toc164229245"/>
      <w:bookmarkStart w:id="573" w:name="_Toc151193648"/>
      <w:bookmarkStart w:id="574" w:name="_Toc226309794"/>
      <w:bookmarkStart w:id="575" w:name="_Toc226965823"/>
      <w:bookmarkStart w:id="576" w:name="_Toc305158818"/>
      <w:bookmarkStart w:id="577" w:name="_Toc150480788"/>
      <w:bookmarkStart w:id="578" w:name="_Toc150774650"/>
      <w:r>
        <w:rPr>
          <w:rFonts w:hint="eastAsia" w:ascii="宋体" w:hAnsi="宋体" w:eastAsia="宋体" w:cs="宋体"/>
          <w:b/>
          <w:bCs/>
          <w:color w:val="auto"/>
          <w:sz w:val="24"/>
          <w:szCs w:val="24"/>
          <w:highlight w:val="none"/>
          <w:lang w:val="en-US" w:eastAsia="zh-CN" w:bidi="ar-SA"/>
        </w:rPr>
        <w:t>23</w:t>
      </w:r>
      <w:r>
        <w:rPr>
          <w:rFonts w:hint="eastAsia" w:ascii="宋体" w:hAnsi="宋体" w:eastAsia="宋体" w:cs="宋体"/>
          <w:b/>
          <w:bCs/>
          <w:color w:val="auto"/>
          <w:sz w:val="24"/>
          <w:szCs w:val="24"/>
          <w:highlight w:val="none"/>
        </w:rPr>
        <w:t>签订合同</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14:paraId="57E4F9A1">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23.1</w:t>
      </w:r>
      <w:r>
        <w:rPr>
          <w:rFonts w:hint="eastAsia" w:ascii="宋体" w:hAnsi="宋体" w:eastAsia="宋体" w:cs="宋体"/>
          <w:color w:val="auto"/>
          <w:sz w:val="24"/>
          <w:szCs w:val="24"/>
          <w:highlight w:val="none"/>
        </w:rPr>
        <w:t>采购人与成交供应商将在成交通知书发出之日起30日内，按照磋商文件确定的合同文本以及采购标的、规格型号、采购金额、采购数量、技术和服务要求等事项签订政府采购合同。</w:t>
      </w:r>
    </w:p>
    <w:p w14:paraId="271779E8">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23.2</w:t>
      </w:r>
      <w:r>
        <w:rPr>
          <w:rFonts w:hint="eastAsia" w:ascii="宋体" w:hAnsi="宋体" w:eastAsia="宋体" w:cs="宋体"/>
          <w:color w:val="auto"/>
          <w:sz w:val="24"/>
          <w:szCs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9982272">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23.3</w:t>
      </w:r>
      <w:r>
        <w:rPr>
          <w:rFonts w:hint="eastAsia" w:ascii="宋体" w:hAnsi="宋体" w:eastAsia="宋体" w:cs="宋体"/>
          <w:color w:val="auto"/>
          <w:sz w:val="24"/>
          <w:szCs w:val="24"/>
          <w:highlight w:val="none"/>
        </w:rPr>
        <w:t>联合体获得成交资格的，联合体各方应当共同与采购人签订合同，就成交项目向采购人承担连带责任。</w:t>
      </w:r>
    </w:p>
    <w:p w14:paraId="454E93A6">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23.4</w:t>
      </w:r>
      <w:r>
        <w:rPr>
          <w:rFonts w:hint="eastAsia" w:ascii="宋体" w:hAnsi="宋体" w:eastAsia="宋体" w:cs="宋体"/>
          <w:color w:val="auto"/>
          <w:sz w:val="24"/>
          <w:szCs w:val="24"/>
          <w:highlight w:val="none"/>
        </w:rPr>
        <w:t>政府采购合同不能转包。</w:t>
      </w:r>
    </w:p>
    <w:p w14:paraId="0D24C606">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23.5</w:t>
      </w:r>
      <w:r>
        <w:rPr>
          <w:rFonts w:hint="eastAsia" w:ascii="宋体" w:hAnsi="宋体" w:eastAsia="宋体" w:cs="宋体"/>
          <w:color w:val="auto"/>
          <w:sz w:val="24"/>
          <w:szCs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color w:val="auto"/>
          <w:sz w:val="24"/>
          <w:szCs w:val="24"/>
          <w:highlight w:val="none"/>
        </w:rPr>
        <w:t>否则响应无效</w:t>
      </w:r>
      <w:r>
        <w:rPr>
          <w:rFonts w:hint="eastAsia" w:ascii="宋体" w:hAnsi="宋体" w:eastAsia="宋体" w:cs="宋体"/>
          <w:color w:val="auto"/>
          <w:sz w:val="24"/>
          <w:szCs w:val="24"/>
          <w:highlight w:val="none"/>
        </w:rPr>
        <w:t>。成交供应商就采购项目和分包项目向采购人负责，分包供应商就分包项目承担责任。</w:t>
      </w:r>
    </w:p>
    <w:bookmarkEnd w:id="542"/>
    <w:bookmarkEnd w:id="543"/>
    <w:bookmarkEnd w:id="544"/>
    <w:p w14:paraId="15A53658">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24</w:t>
      </w:r>
      <w:r>
        <w:rPr>
          <w:rFonts w:hint="eastAsia" w:ascii="宋体" w:hAnsi="宋体" w:eastAsia="宋体" w:cs="宋体"/>
          <w:b/>
          <w:bCs/>
          <w:color w:val="auto"/>
          <w:sz w:val="24"/>
          <w:szCs w:val="24"/>
          <w:highlight w:val="none"/>
        </w:rPr>
        <w:t>询问与质疑</w:t>
      </w:r>
    </w:p>
    <w:p w14:paraId="21C9A5E5">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24.1</w:t>
      </w:r>
      <w:r>
        <w:rPr>
          <w:rFonts w:hint="eastAsia" w:ascii="宋体" w:hAnsi="宋体" w:eastAsia="宋体" w:cs="宋体"/>
          <w:color w:val="auto"/>
          <w:sz w:val="24"/>
          <w:szCs w:val="24"/>
          <w:highlight w:val="none"/>
        </w:rPr>
        <w:t>询问</w:t>
      </w:r>
    </w:p>
    <w:p w14:paraId="4D47521C">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24.1.1</w:t>
      </w:r>
      <w:r>
        <w:rPr>
          <w:rFonts w:hint="eastAsia" w:ascii="宋体" w:hAnsi="宋体" w:eastAsia="宋体" w:cs="宋体"/>
          <w:color w:val="auto"/>
          <w:sz w:val="24"/>
          <w:szCs w:val="24"/>
          <w:highlight w:val="none"/>
        </w:rPr>
        <w:t>供应商对政府采购活动事项有疑问的，可依法提出询问，并按《供应商须知资料表》载明的形式送达采购人或采购代理机构。</w:t>
      </w:r>
    </w:p>
    <w:p w14:paraId="5D629F24">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24.1.2</w:t>
      </w:r>
      <w:r>
        <w:rPr>
          <w:rFonts w:hint="eastAsia" w:ascii="宋体" w:hAnsi="宋体" w:eastAsia="宋体" w:cs="宋体"/>
          <w:color w:val="auto"/>
          <w:sz w:val="24"/>
          <w:szCs w:val="24"/>
          <w:highlight w:val="none"/>
        </w:rPr>
        <w:t>采购人或采购代理机构对供应商依法提出的询问，在3个工作日内作出答复，但答复的内容不得涉及商业秘密。</w:t>
      </w:r>
    </w:p>
    <w:p w14:paraId="0C1CEB16">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24.2</w:t>
      </w:r>
      <w:r>
        <w:rPr>
          <w:rFonts w:hint="eastAsia" w:ascii="宋体" w:hAnsi="宋体" w:eastAsia="宋体" w:cs="宋体"/>
          <w:color w:val="auto"/>
          <w:sz w:val="24"/>
          <w:szCs w:val="24"/>
          <w:highlight w:val="none"/>
        </w:rPr>
        <w:t>质疑</w:t>
      </w:r>
    </w:p>
    <w:p w14:paraId="388641E6">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24.2.1</w:t>
      </w:r>
      <w:r>
        <w:rPr>
          <w:rFonts w:hint="eastAsia" w:ascii="宋体" w:hAnsi="宋体" w:eastAsia="宋体" w:cs="宋体"/>
          <w:color w:val="auto"/>
          <w:sz w:val="24"/>
          <w:szCs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48560B54">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24.2.2</w:t>
      </w:r>
      <w:r>
        <w:rPr>
          <w:rFonts w:hint="eastAsia" w:ascii="宋体" w:hAnsi="宋体" w:eastAsia="宋体" w:cs="宋体"/>
          <w:b/>
          <w:color w:val="auto"/>
          <w:sz w:val="24"/>
          <w:szCs w:val="24"/>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476F9172">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24.2.3</w:t>
      </w:r>
      <w:r>
        <w:rPr>
          <w:rFonts w:hint="eastAsia" w:ascii="宋体" w:hAnsi="宋体" w:eastAsia="宋体" w:cs="宋体"/>
          <w:color w:val="auto"/>
          <w:sz w:val="24"/>
          <w:szCs w:val="24"/>
          <w:highlight w:val="none"/>
        </w:rPr>
        <w:t>质疑函须使用财政部制定的范本文件。（下载网址：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"http://gks.mof.gov.cn/ztztz/zhengfucaigouguanli/201802/t20180201_2804589.htm" </w:instrText>
      </w:r>
      <w:r>
        <w:rPr>
          <w:rFonts w:hint="eastAsia" w:ascii="宋体" w:hAnsi="宋体" w:eastAsia="宋体" w:cs="宋体"/>
          <w:color w:val="auto"/>
          <w:sz w:val="24"/>
          <w:szCs w:val="24"/>
          <w:highlight w:val="none"/>
        </w:rPr>
        <w:fldChar w:fldCharType="separate"/>
      </w:r>
      <w:r>
        <w:rPr>
          <w:rStyle w:val="261"/>
          <w:rFonts w:hint="eastAsia" w:ascii="宋体" w:hAnsi="宋体" w:eastAsia="宋体" w:cs="宋体"/>
          <w:color w:val="auto"/>
          <w:sz w:val="24"/>
          <w:szCs w:val="24"/>
          <w:highlight w:val="none"/>
        </w:rPr>
        <w:t>http://gk</w:t>
      </w:r>
      <w:bookmarkStart w:id="579" w:name="_Hlt100654014"/>
      <w:r>
        <w:rPr>
          <w:rStyle w:val="261"/>
          <w:rFonts w:hint="eastAsia" w:ascii="宋体" w:hAnsi="宋体" w:eastAsia="宋体" w:cs="宋体"/>
          <w:color w:val="auto"/>
          <w:sz w:val="24"/>
          <w:szCs w:val="24"/>
          <w:highlight w:val="none"/>
        </w:rPr>
        <w:t>s</w:t>
      </w:r>
      <w:bookmarkEnd w:id="579"/>
      <w:r>
        <w:rPr>
          <w:rStyle w:val="261"/>
          <w:rFonts w:hint="eastAsia" w:ascii="宋体" w:hAnsi="宋体" w:eastAsia="宋体" w:cs="宋体"/>
          <w:color w:val="auto"/>
          <w:sz w:val="24"/>
          <w:szCs w:val="24"/>
          <w:highlight w:val="none"/>
        </w:rPr>
        <w:t>.m</w:t>
      </w:r>
      <w:bookmarkStart w:id="580" w:name="_Hlt100653994"/>
      <w:bookmarkStart w:id="581" w:name="_Hlt100653993"/>
      <w:r>
        <w:rPr>
          <w:rStyle w:val="261"/>
          <w:rFonts w:hint="eastAsia" w:ascii="宋体" w:hAnsi="宋体" w:eastAsia="宋体" w:cs="宋体"/>
          <w:color w:val="auto"/>
          <w:sz w:val="24"/>
          <w:szCs w:val="24"/>
          <w:highlight w:val="none"/>
        </w:rPr>
        <w:t>o</w:t>
      </w:r>
      <w:bookmarkEnd w:id="580"/>
      <w:bookmarkEnd w:id="581"/>
      <w:bookmarkStart w:id="582" w:name="_Hlt101169156"/>
      <w:r>
        <w:rPr>
          <w:rStyle w:val="261"/>
          <w:rFonts w:hint="eastAsia" w:ascii="宋体" w:hAnsi="宋体" w:eastAsia="宋体" w:cs="宋体"/>
          <w:color w:val="auto"/>
          <w:sz w:val="24"/>
          <w:szCs w:val="24"/>
          <w:highlight w:val="none"/>
        </w:rPr>
        <w:t>f</w:t>
      </w:r>
      <w:bookmarkEnd w:id="582"/>
      <w:r>
        <w:rPr>
          <w:rStyle w:val="261"/>
          <w:rFonts w:hint="eastAsia" w:ascii="宋体" w:hAnsi="宋体" w:eastAsia="宋体" w:cs="宋体"/>
          <w:color w:val="auto"/>
          <w:sz w:val="24"/>
          <w:szCs w:val="24"/>
          <w:highlight w:val="none"/>
        </w:rPr>
        <w:t>.gov.cn/ztztz/zhengfucaigouguanli/201802/t20180201_2804589.htm</w:t>
      </w:r>
      <w:r>
        <w:rPr>
          <w:rStyle w:val="261"/>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p>
    <w:p w14:paraId="0436A26C">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24.2.4</w:t>
      </w: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供应商为自然人的，应当由本人签字；供应商为法人或者其他组织的，应当由法定代表人、主要负责人，或者其授权代表签字或者盖章，并加盖公章。</w:t>
      </w:r>
    </w:p>
    <w:p w14:paraId="7675DB7D">
      <w:pPr>
        <w:pageBreakBefore w:val="0"/>
        <w:widowControl w:val="0"/>
        <w:numPr>
          <w:ilvl w:val="2"/>
          <w:numId w:val="0"/>
        </w:numPr>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24.2.5</w:t>
      </w:r>
      <w:r>
        <w:rPr>
          <w:rFonts w:hint="eastAsia" w:ascii="宋体" w:hAnsi="宋体" w:eastAsia="宋体" w:cs="宋体"/>
          <w:color w:val="auto"/>
          <w:sz w:val="24"/>
          <w:szCs w:val="24"/>
          <w:highlight w:val="none"/>
        </w:rPr>
        <w:t>供应商应在法定质疑期内一次性提出针对同一采购程序环节的质疑，法定质疑期内针对同一采购程序环节再次提出的质疑，采购人、采购代理机构有权不予答复。</w:t>
      </w:r>
    </w:p>
    <w:p w14:paraId="1426426D">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24.3</w:t>
      </w:r>
      <w:r>
        <w:rPr>
          <w:rFonts w:hint="eastAsia" w:ascii="宋体" w:hAnsi="宋体" w:eastAsia="宋体" w:cs="宋体"/>
          <w:color w:val="auto"/>
          <w:sz w:val="24"/>
          <w:szCs w:val="24"/>
          <w:highlight w:val="none"/>
        </w:rPr>
        <w:t>接收询问和质疑的联系部门、联系电话和通讯地址见《供应商须知资料表》。</w:t>
      </w:r>
    </w:p>
    <w:p w14:paraId="08AA9BA6">
      <w:pPr>
        <w:pageBreakBefore w:val="0"/>
        <w:widowControl w:val="0"/>
        <w:numPr>
          <w:ilvl w:val="0"/>
          <w:numId w:val="0"/>
        </w:numPr>
        <w:tabs>
          <w:tab w:val="left" w:pos="360"/>
        </w:tabs>
        <w:kinsoku/>
        <w:wordWrap/>
        <w:overflowPunct/>
        <w:topLinePunct w:val="0"/>
        <w:autoSpaceDE/>
        <w:autoSpaceDN/>
        <w:bidi w:val="0"/>
        <w:adjustRightIn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25</w:t>
      </w:r>
      <w:r>
        <w:rPr>
          <w:rFonts w:hint="eastAsia" w:ascii="宋体" w:hAnsi="宋体" w:eastAsia="宋体" w:cs="宋体"/>
          <w:b/>
          <w:bCs/>
          <w:color w:val="auto"/>
          <w:sz w:val="24"/>
          <w:szCs w:val="24"/>
          <w:highlight w:val="none"/>
        </w:rPr>
        <w:t>代理费</w:t>
      </w:r>
    </w:p>
    <w:p w14:paraId="1F07A8DA">
      <w:pPr>
        <w:pageBreakBefore w:val="0"/>
        <w:widowControl w:val="0"/>
        <w:numPr>
          <w:ilvl w:val="1"/>
          <w:numId w:val="0"/>
        </w:numPr>
        <w:tabs>
          <w:tab w:val="left" w:pos="1080"/>
          <w:tab w:val="left" w:pos="2014"/>
        </w:tabs>
        <w:kinsoku/>
        <w:wordWrap/>
        <w:overflowPunct/>
        <w:topLinePunct w:val="0"/>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25.1</w:t>
      </w:r>
      <w:r>
        <w:rPr>
          <w:rFonts w:hint="eastAsia" w:ascii="宋体" w:hAnsi="宋体" w:eastAsia="宋体" w:cs="宋体"/>
          <w:color w:val="auto"/>
          <w:sz w:val="24"/>
          <w:szCs w:val="24"/>
          <w:highlight w:val="none"/>
        </w:rPr>
        <w:t>收费对象、收费标准及缴纳时间见《供应商须知资料表》。由成交供应商支付的，成交供应商须一次性向采购代理机构缴纳代理费，报价应包含代理费用。</w:t>
      </w:r>
    </w:p>
    <w:p w14:paraId="54B4EF84">
      <w:pPr>
        <w:pageBreakBefore w:val="0"/>
        <w:widowControl w:val="0"/>
        <w:numPr>
          <w:ilvl w:val="1"/>
          <w:numId w:val="8"/>
        </w:numPr>
        <w:tabs>
          <w:tab w:val="left" w:pos="1080"/>
          <w:tab w:val="left" w:pos="2014"/>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sectPr>
          <w:footerReference r:id="rId13" w:type="even"/>
          <w:pgSz w:w="11907" w:h="16838"/>
          <w:pgMar w:top="1417" w:right="1134" w:bottom="1417" w:left="1361" w:header="850" w:footer="850" w:gutter="0"/>
          <w:pgBorders>
            <w:top w:val="none" w:sz="0" w:space="0"/>
            <w:left w:val="none" w:sz="0" w:space="0"/>
            <w:bottom w:val="none" w:sz="0" w:space="0"/>
            <w:right w:val="none" w:sz="0" w:space="0"/>
          </w:pgBorders>
          <w:cols w:space="0" w:num="1"/>
          <w:titlePg/>
          <w:docGrid w:linePitch="360" w:charSpace="0"/>
        </w:sectPr>
      </w:pPr>
      <w:bookmarkStart w:id="583" w:name="_Toc265228392"/>
      <w:bookmarkStart w:id="584" w:name="_Toc150774759"/>
      <w:bookmarkStart w:id="585" w:name="_Toc305158822"/>
      <w:bookmarkStart w:id="586" w:name="_Toc305158896"/>
      <w:bookmarkStart w:id="587" w:name="_Toc264969244"/>
      <w:bookmarkStart w:id="588" w:name="_Toc353825544"/>
      <w:bookmarkStart w:id="589" w:name="_Toc127151554"/>
      <w:bookmarkStart w:id="590" w:name="_Toc226337250"/>
      <w:bookmarkStart w:id="591" w:name="_Toc226965827"/>
      <w:bookmarkStart w:id="592" w:name="_Toc150480792"/>
      <w:bookmarkStart w:id="593" w:name="_Toc353873934"/>
      <w:bookmarkStart w:id="594" w:name="_Toc353873664"/>
      <w:bookmarkStart w:id="595" w:name="_Toc142311056"/>
    </w:p>
    <w:bookmarkEnd w:id="583"/>
    <w:bookmarkEnd w:id="584"/>
    <w:bookmarkEnd w:id="585"/>
    <w:bookmarkEnd w:id="586"/>
    <w:bookmarkEnd w:id="587"/>
    <w:bookmarkEnd w:id="588"/>
    <w:bookmarkEnd w:id="589"/>
    <w:bookmarkEnd w:id="590"/>
    <w:bookmarkEnd w:id="591"/>
    <w:bookmarkEnd w:id="592"/>
    <w:bookmarkEnd w:id="593"/>
    <w:bookmarkEnd w:id="594"/>
    <w:bookmarkEnd w:id="595"/>
    <w:p w14:paraId="58697D93">
      <w:pPr>
        <w:numPr>
          <w:ilvl w:val="0"/>
          <w:numId w:val="0"/>
        </w:numPr>
        <w:spacing w:line="360" w:lineRule="auto"/>
        <w:jc w:val="center"/>
        <w:outlineLvl w:val="0"/>
        <w:rPr>
          <w:b/>
          <w:color w:val="auto"/>
          <w:sz w:val="36"/>
          <w:szCs w:val="36"/>
          <w:highlight w:val="none"/>
        </w:rPr>
      </w:pPr>
      <w:bookmarkStart w:id="596" w:name="_Toc11129"/>
      <w:r>
        <w:rPr>
          <w:rFonts w:hint="eastAsia" w:ascii="Times New Roman" w:hAnsi="Times New Roman" w:eastAsia="宋体" w:cs="Times New Roman"/>
          <w:b/>
          <w:color w:val="auto"/>
          <w:sz w:val="36"/>
          <w:szCs w:val="36"/>
          <w:lang w:val="en-US" w:eastAsia="zh-CN" w:bidi="ar-SA"/>
        </w:rPr>
        <w:t>第三章</w:t>
      </w:r>
      <w:r>
        <w:rPr>
          <w:rFonts w:hint="eastAsia" w:cs="Times New Roman"/>
          <w:b/>
          <w:color w:val="auto"/>
          <w:sz w:val="36"/>
          <w:szCs w:val="36"/>
          <w:lang w:val="en-US" w:eastAsia="zh-CN" w:bidi="ar-SA"/>
        </w:rPr>
        <w:t xml:space="preserve">  </w:t>
      </w:r>
      <w:r>
        <w:rPr>
          <w:b/>
          <w:color w:val="auto"/>
          <w:sz w:val="36"/>
          <w:szCs w:val="36"/>
          <w:highlight w:val="none"/>
        </w:rPr>
        <w:t>评审</w:t>
      </w:r>
      <w:r>
        <w:rPr>
          <w:rFonts w:hint="eastAsia"/>
          <w:b/>
          <w:color w:val="auto"/>
          <w:sz w:val="36"/>
          <w:szCs w:val="36"/>
          <w:highlight w:val="none"/>
        </w:rPr>
        <w:t>程序、评审</w:t>
      </w:r>
      <w:r>
        <w:rPr>
          <w:b/>
          <w:color w:val="auto"/>
          <w:sz w:val="36"/>
          <w:szCs w:val="36"/>
          <w:highlight w:val="none"/>
        </w:rPr>
        <w:t>方法和评审标准</w:t>
      </w:r>
      <w:bookmarkEnd w:id="596"/>
      <w:bookmarkStart w:id="597" w:name="_Toc487900382"/>
    </w:p>
    <w:p w14:paraId="09E28418">
      <w:pPr>
        <w:pStyle w:val="196"/>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一、</w:t>
      </w:r>
      <w:r>
        <w:rPr>
          <w:rFonts w:hint="eastAsia" w:ascii="Times New Roman" w:hAnsi="Times New Roman" w:eastAsia="宋体"/>
          <w:color w:val="auto"/>
          <w:sz w:val="24"/>
          <w:szCs w:val="24"/>
          <w:highlight w:val="none"/>
        </w:rPr>
        <w:t>评审</w:t>
      </w:r>
      <w:r>
        <w:rPr>
          <w:rFonts w:ascii="Times New Roman" w:hAnsi="Times New Roman" w:eastAsia="宋体"/>
          <w:color w:val="auto"/>
          <w:sz w:val="24"/>
          <w:szCs w:val="24"/>
          <w:highlight w:val="none"/>
        </w:rPr>
        <w:t>程序</w:t>
      </w:r>
    </w:p>
    <w:p w14:paraId="1169A813">
      <w:pPr>
        <w:tabs>
          <w:tab w:val="left" w:pos="1080"/>
        </w:tabs>
        <w:jc w:val="left"/>
        <w:rPr>
          <w:b/>
          <w:color w:val="auto"/>
          <w:sz w:val="24"/>
          <w:highlight w:val="none"/>
        </w:rPr>
      </w:pPr>
      <w:r>
        <w:rPr>
          <w:b/>
          <w:color w:val="auto"/>
          <w:sz w:val="24"/>
          <w:highlight w:val="none"/>
        </w:rPr>
        <w:tab/>
      </w:r>
    </w:p>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597"/>
    <w:p w14:paraId="706605DB">
      <w:pPr>
        <w:keepNext w:val="0"/>
        <w:keepLines w:val="0"/>
        <w:pageBreakBefore w:val="0"/>
        <w:widowControl w:val="0"/>
        <w:numPr>
          <w:ilvl w:val="0"/>
          <w:numId w:val="0"/>
        </w:numPr>
        <w:tabs>
          <w:tab w:val="left" w:pos="360"/>
        </w:tabs>
        <w:kinsoku/>
        <w:wordWrap/>
        <w:overflowPunct/>
        <w:topLinePunct w:val="0"/>
        <w:autoSpaceDE/>
        <w:autoSpaceDN/>
        <w:bidi w:val="0"/>
        <w:adjustRightInd/>
        <w:snapToGrid/>
        <w:spacing w:line="360" w:lineRule="auto"/>
        <w:ind w:left="0" w:leftChars="0" w:firstLine="482" w:firstLineChars="200"/>
        <w:textAlignment w:val="auto"/>
        <w:outlineLvl w:val="1"/>
        <w:rPr>
          <w:rFonts w:hint="eastAsia" w:ascii="宋体" w:hAnsi="宋体" w:eastAsia="宋体" w:cs="宋体"/>
          <w:b/>
          <w:bCs/>
          <w:color w:val="auto"/>
          <w:sz w:val="24"/>
          <w:highlight w:val="none"/>
        </w:rPr>
      </w:pPr>
      <w:bookmarkStart w:id="598" w:name="_Toc164608810"/>
      <w:bookmarkStart w:id="599" w:name="_Toc226309785"/>
      <w:bookmarkStart w:id="600" w:name="_Toc226965814"/>
      <w:bookmarkStart w:id="601" w:name="_Toc264969231"/>
      <w:bookmarkStart w:id="602" w:name="_Toc149720834"/>
      <w:bookmarkStart w:id="603" w:name="_Toc265228379"/>
      <w:bookmarkStart w:id="604" w:name="_Toc150774746"/>
      <w:bookmarkStart w:id="605" w:name="_Toc151193783"/>
      <w:bookmarkStart w:id="606" w:name="_Toc164229236"/>
      <w:bookmarkStart w:id="607" w:name="_Toc164229382"/>
      <w:bookmarkStart w:id="608" w:name="_Toc151190168"/>
      <w:bookmarkStart w:id="609" w:name="_Toc150774641"/>
      <w:bookmarkStart w:id="610" w:name="_Toc164351635"/>
      <w:bookmarkStart w:id="611" w:name="_Toc150509292"/>
      <w:bookmarkStart w:id="612" w:name="_Toc127151541"/>
      <w:bookmarkStart w:id="613" w:name="_Toc195842906"/>
      <w:bookmarkStart w:id="614" w:name="_Toc151193639"/>
      <w:bookmarkStart w:id="615" w:name="_Toc226337237"/>
      <w:bookmarkStart w:id="616" w:name="_Toc151193929"/>
      <w:bookmarkStart w:id="617" w:name="_Toc142311043"/>
      <w:bookmarkStart w:id="618" w:name="_Toc151193711"/>
      <w:bookmarkStart w:id="619" w:name="_Toc305158883"/>
      <w:bookmarkStart w:id="620" w:name="_Toc305158809"/>
      <w:bookmarkStart w:id="621" w:name="_Toc164608655"/>
      <w:bookmarkStart w:id="622" w:name="_Toc150480779"/>
      <w:bookmarkStart w:id="623" w:name="_Toc151193855"/>
      <w:bookmarkStart w:id="624" w:name="_Toc226965731"/>
      <w:bookmarkStart w:id="625" w:name="_Toc127151742"/>
      <w:bookmarkStart w:id="626" w:name="_Toc127161455"/>
      <w:bookmarkStart w:id="627" w:name="_Toc353825551"/>
      <w:bookmarkStart w:id="628" w:name="_Toc353873941"/>
      <w:bookmarkStart w:id="629" w:name="_Toc127151555"/>
      <w:bookmarkStart w:id="630" w:name="_Toc353825545"/>
      <w:bookmarkStart w:id="631" w:name="_Toc150480793"/>
      <w:bookmarkStart w:id="632" w:name="_Toc226337251"/>
      <w:bookmarkStart w:id="633" w:name="_Toc353873935"/>
      <w:bookmarkStart w:id="634" w:name="_Toc305158823"/>
      <w:bookmarkStart w:id="635" w:name="_Toc265228393"/>
      <w:bookmarkStart w:id="636" w:name="_Toc150774760"/>
      <w:bookmarkStart w:id="637" w:name="_Toc142311057"/>
      <w:bookmarkStart w:id="638" w:name="_Toc264969245"/>
      <w:bookmarkStart w:id="639" w:name="_Toc226965828"/>
      <w:bookmarkStart w:id="640" w:name="_Toc195842920"/>
      <w:bookmarkStart w:id="641" w:name="_Toc353873665"/>
      <w:bookmarkStart w:id="642" w:name="_Toc305158897"/>
      <w:r>
        <w:rPr>
          <w:rFonts w:hint="eastAsia" w:ascii="宋体" w:hAnsi="宋体" w:eastAsia="宋体" w:cs="宋体"/>
          <w:b/>
          <w:bCs/>
          <w:color w:val="auto"/>
          <w:sz w:val="24"/>
          <w:szCs w:val="24"/>
          <w:highlight w:val="none"/>
          <w:lang w:val="en-US" w:eastAsia="zh-CN" w:bidi="ar-SA"/>
        </w:rPr>
        <w:t>1</w:t>
      </w:r>
      <w:r>
        <w:rPr>
          <w:rFonts w:hint="eastAsia" w:ascii="宋体" w:hAnsi="宋体" w:eastAsia="宋体" w:cs="宋体"/>
          <w:b/>
          <w:bCs/>
          <w:color w:val="auto"/>
          <w:sz w:val="24"/>
          <w:highlight w:val="none"/>
        </w:rPr>
        <w:t>响应文件的</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r>
        <w:rPr>
          <w:rFonts w:hint="eastAsia" w:ascii="宋体" w:hAnsi="宋体" w:eastAsia="宋体" w:cs="宋体"/>
          <w:b/>
          <w:bCs/>
          <w:color w:val="auto"/>
          <w:sz w:val="24"/>
          <w:highlight w:val="none"/>
        </w:rPr>
        <w:t>资格性检查和符合性审查</w:t>
      </w:r>
    </w:p>
    <w:p w14:paraId="65CEB889">
      <w:pPr>
        <w:keepNext w:val="0"/>
        <w:keepLines w:val="0"/>
        <w:pageBreakBefore w:val="0"/>
        <w:widowControl w:val="0"/>
        <w:numPr>
          <w:ilvl w:val="1"/>
          <w:numId w:val="0"/>
        </w:numPr>
        <w:tabs>
          <w:tab w:val="left" w:pos="108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b w:val="0"/>
          <w:color w:val="auto"/>
          <w:sz w:val="24"/>
          <w:szCs w:val="24"/>
          <w:highlight w:val="none"/>
          <w:lang w:val="en-US" w:eastAsia="zh-CN" w:bidi="ar-SA"/>
        </w:rPr>
        <w:t>1.1</w:t>
      </w:r>
      <w:r>
        <w:rPr>
          <w:rFonts w:hint="eastAsia" w:ascii="宋体" w:hAnsi="宋体" w:eastAsia="宋体" w:cs="宋体"/>
          <w:color w:val="auto"/>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auto"/>
          <w:sz w:val="24"/>
          <w:highlight w:val="none"/>
        </w:rPr>
        <w:t>无效响应</w:t>
      </w:r>
      <w:r>
        <w:rPr>
          <w:rFonts w:hint="eastAsia" w:ascii="宋体" w:hAnsi="宋体" w:eastAsia="宋体" w:cs="宋体"/>
          <w:color w:val="auto"/>
          <w:sz w:val="24"/>
          <w:highlight w:val="none"/>
        </w:rPr>
        <w:t>处理，磋商小组应当告知提交响应文件的供应商。</w:t>
      </w:r>
    </w:p>
    <w:p w14:paraId="02709ABB">
      <w:pPr>
        <w:keepNext w:val="0"/>
        <w:keepLines w:val="0"/>
        <w:pageBreakBefore w:val="0"/>
        <w:widowControl w:val="0"/>
        <w:numPr>
          <w:ilvl w:val="1"/>
          <w:numId w:val="0"/>
        </w:numPr>
        <w:tabs>
          <w:tab w:val="left" w:pos="108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b w:val="0"/>
          <w:color w:val="auto"/>
          <w:sz w:val="24"/>
          <w:szCs w:val="24"/>
          <w:highlight w:val="none"/>
          <w:lang w:val="en-US" w:eastAsia="zh-CN" w:bidi="ar-SA"/>
        </w:rPr>
        <w:t>1.2</w:t>
      </w:r>
      <w:r>
        <w:rPr>
          <w:rFonts w:hint="eastAsia" w:ascii="宋体" w:hAnsi="宋体" w:eastAsia="宋体" w:cs="宋体"/>
          <w:color w:val="auto"/>
          <w:sz w:val="24"/>
          <w:highlight w:val="none"/>
        </w:rPr>
        <w:t>《资格性检查要求》中对格式有要求的，除竞争性磋商文件另有规定外，均为“实质性格式”文件。</w:t>
      </w:r>
    </w:p>
    <w:p w14:paraId="413C7B27">
      <w:pPr>
        <w:keepNext w:val="0"/>
        <w:keepLines w:val="0"/>
        <w:pageBreakBefore w:val="0"/>
        <w:widowControl w:val="0"/>
        <w:numPr>
          <w:ilvl w:val="1"/>
          <w:numId w:val="0"/>
        </w:numPr>
        <w:tabs>
          <w:tab w:val="left" w:pos="108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b w:val="0"/>
          <w:color w:val="auto"/>
          <w:sz w:val="24"/>
          <w:szCs w:val="24"/>
          <w:highlight w:val="none"/>
          <w:lang w:val="en-US" w:eastAsia="zh-CN" w:bidi="ar-SA"/>
        </w:rPr>
        <w:t>1.3</w:t>
      </w:r>
      <w:r>
        <w:rPr>
          <w:rFonts w:hint="eastAsia" w:ascii="宋体" w:hAnsi="宋体" w:eastAsia="宋体" w:cs="宋体"/>
          <w:color w:val="auto"/>
          <w:sz w:val="24"/>
          <w:highlight w:val="none"/>
        </w:rPr>
        <w:t>《资格性检查要求》见下表：</w:t>
      </w:r>
    </w:p>
    <w:p w14:paraId="6D6D15B9">
      <w:pPr>
        <w:tabs>
          <w:tab w:val="left" w:pos="900"/>
          <w:tab w:val="left" w:pos="1080"/>
        </w:tabs>
        <w:spacing w:line="360" w:lineRule="auto"/>
        <w:ind w:left="1077" w:firstLine="2650"/>
        <w:rPr>
          <w:b/>
          <w:color w:val="auto"/>
          <w:sz w:val="24"/>
          <w:highlight w:val="none"/>
        </w:rPr>
      </w:pPr>
      <w:r>
        <w:rPr>
          <w:b/>
          <w:color w:val="auto"/>
          <w:sz w:val="24"/>
          <w:highlight w:val="none"/>
        </w:rPr>
        <w:t>资格性检查要求</w:t>
      </w:r>
    </w:p>
    <w:tbl>
      <w:tblPr>
        <w:tblStyle w:val="36"/>
        <w:tblW w:w="940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4"/>
        <w:gridCol w:w="1908"/>
        <w:gridCol w:w="5287"/>
        <w:gridCol w:w="1503"/>
      </w:tblGrid>
      <w:tr w14:paraId="25357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704" w:type="dxa"/>
            <w:vAlign w:val="center"/>
          </w:tcPr>
          <w:p w14:paraId="0B7C4E54">
            <w:pPr>
              <w:tabs>
                <w:tab w:val="left" w:pos="1080"/>
              </w:tabs>
              <w:jc w:val="center"/>
              <w:rPr>
                <w:b/>
                <w:color w:val="auto"/>
                <w:sz w:val="24"/>
                <w:highlight w:val="none"/>
              </w:rPr>
            </w:pPr>
            <w:bookmarkStart w:id="643" w:name="_Hlt487972895"/>
            <w:bookmarkEnd w:id="643"/>
            <w:r>
              <w:rPr>
                <w:b/>
                <w:color w:val="auto"/>
                <w:sz w:val="24"/>
                <w:highlight w:val="none"/>
              </w:rPr>
              <w:t>序号</w:t>
            </w:r>
          </w:p>
        </w:tc>
        <w:tc>
          <w:tcPr>
            <w:tcW w:w="1908" w:type="dxa"/>
            <w:vAlign w:val="center"/>
          </w:tcPr>
          <w:p w14:paraId="78433A22">
            <w:pPr>
              <w:tabs>
                <w:tab w:val="left" w:pos="1080"/>
              </w:tabs>
              <w:jc w:val="center"/>
              <w:rPr>
                <w:b/>
                <w:color w:val="auto"/>
                <w:sz w:val="24"/>
                <w:highlight w:val="none"/>
              </w:rPr>
            </w:pPr>
            <w:r>
              <w:rPr>
                <w:b/>
                <w:color w:val="auto"/>
                <w:sz w:val="24"/>
                <w:highlight w:val="none"/>
              </w:rPr>
              <w:t>审查因素</w:t>
            </w:r>
          </w:p>
        </w:tc>
        <w:tc>
          <w:tcPr>
            <w:tcW w:w="5287" w:type="dxa"/>
            <w:vAlign w:val="center"/>
          </w:tcPr>
          <w:p w14:paraId="64ECA664">
            <w:pPr>
              <w:tabs>
                <w:tab w:val="left" w:pos="1080"/>
              </w:tabs>
              <w:jc w:val="center"/>
              <w:rPr>
                <w:b/>
                <w:color w:val="auto"/>
                <w:sz w:val="24"/>
                <w:highlight w:val="none"/>
              </w:rPr>
            </w:pPr>
            <w:r>
              <w:rPr>
                <w:b/>
                <w:color w:val="auto"/>
                <w:sz w:val="24"/>
                <w:highlight w:val="none"/>
              </w:rPr>
              <w:t>审查内容</w:t>
            </w:r>
          </w:p>
        </w:tc>
        <w:tc>
          <w:tcPr>
            <w:tcW w:w="1503" w:type="dxa"/>
            <w:vAlign w:val="center"/>
          </w:tcPr>
          <w:p w14:paraId="5960B2D4">
            <w:pPr>
              <w:tabs>
                <w:tab w:val="left" w:pos="1080"/>
              </w:tabs>
              <w:jc w:val="center"/>
              <w:rPr>
                <w:b/>
                <w:color w:val="auto"/>
                <w:sz w:val="24"/>
                <w:highlight w:val="none"/>
              </w:rPr>
            </w:pPr>
            <w:r>
              <w:rPr>
                <w:b/>
                <w:color w:val="auto"/>
                <w:sz w:val="24"/>
                <w:highlight w:val="none"/>
              </w:rPr>
              <w:t>格式要求</w:t>
            </w:r>
          </w:p>
        </w:tc>
      </w:tr>
      <w:tr w14:paraId="16EF5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04" w:type="dxa"/>
            <w:vAlign w:val="center"/>
          </w:tcPr>
          <w:p w14:paraId="29D9BF27">
            <w:pPr>
              <w:tabs>
                <w:tab w:val="left" w:pos="108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908" w:type="dxa"/>
            <w:vAlign w:val="center"/>
          </w:tcPr>
          <w:p w14:paraId="1F553D70">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满足《中华人民共和国政府采购法》第二十二条规定及法律法规的其他规定</w:t>
            </w:r>
          </w:p>
        </w:tc>
        <w:tc>
          <w:tcPr>
            <w:tcW w:w="5287" w:type="dxa"/>
            <w:vAlign w:val="center"/>
          </w:tcPr>
          <w:p w14:paraId="1123E144">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具体规定见第一章《采购邀请》</w:t>
            </w:r>
          </w:p>
        </w:tc>
        <w:tc>
          <w:tcPr>
            <w:tcW w:w="1503" w:type="dxa"/>
            <w:vAlign w:val="center"/>
          </w:tcPr>
          <w:p w14:paraId="1C11EFBD">
            <w:pPr>
              <w:tabs>
                <w:tab w:val="left" w:pos="1080"/>
              </w:tabs>
              <w:rPr>
                <w:rFonts w:hint="eastAsia" w:ascii="宋体" w:hAnsi="宋体" w:eastAsia="宋体" w:cs="宋体"/>
                <w:color w:val="auto"/>
                <w:sz w:val="24"/>
                <w:highlight w:val="none"/>
              </w:rPr>
            </w:pPr>
          </w:p>
        </w:tc>
      </w:tr>
      <w:tr w14:paraId="3F640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04" w:type="dxa"/>
            <w:vAlign w:val="center"/>
          </w:tcPr>
          <w:p w14:paraId="3D36B773">
            <w:pPr>
              <w:tabs>
                <w:tab w:val="left" w:pos="108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1908" w:type="dxa"/>
            <w:vAlign w:val="center"/>
          </w:tcPr>
          <w:p w14:paraId="7859AA7E">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供应商资格声明函</w:t>
            </w:r>
          </w:p>
        </w:tc>
        <w:tc>
          <w:tcPr>
            <w:tcW w:w="5287" w:type="dxa"/>
            <w:vAlign w:val="center"/>
          </w:tcPr>
          <w:p w14:paraId="6A84A213">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提供了符合采购文件要求的《供应商资格声明函》。</w:t>
            </w:r>
          </w:p>
        </w:tc>
        <w:tc>
          <w:tcPr>
            <w:tcW w:w="1503" w:type="dxa"/>
            <w:vAlign w:val="center"/>
          </w:tcPr>
          <w:p w14:paraId="0AC166D3">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格式见《响应文件格式》</w:t>
            </w:r>
          </w:p>
        </w:tc>
      </w:tr>
      <w:tr w14:paraId="53539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04" w:type="dxa"/>
            <w:vAlign w:val="center"/>
          </w:tcPr>
          <w:p w14:paraId="556C3590">
            <w:pPr>
              <w:tabs>
                <w:tab w:val="left" w:pos="108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1908" w:type="dxa"/>
            <w:vAlign w:val="center"/>
          </w:tcPr>
          <w:p w14:paraId="72F921C9">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供应商信用记录</w:t>
            </w:r>
          </w:p>
        </w:tc>
        <w:tc>
          <w:tcPr>
            <w:tcW w:w="5287" w:type="dxa"/>
            <w:vAlign w:val="center"/>
          </w:tcPr>
          <w:p w14:paraId="216F98C5">
            <w:pPr>
              <w:tabs>
                <w:tab w:val="left" w:pos="900"/>
                <w:tab w:val="left" w:pos="19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查询渠道：信用中国网站和中国政府采购网（www.creditchina.gov.cn、www.ccgp.gov.cn）；</w:t>
            </w:r>
          </w:p>
          <w:p w14:paraId="45A3F8F2">
            <w:pPr>
              <w:tabs>
                <w:tab w:val="left" w:pos="900"/>
                <w:tab w:val="left" w:pos="19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截止时点：提交响应文件截止时间以后、资格审查阶段采购人或采购代理机构的实际查询时间；</w:t>
            </w:r>
          </w:p>
          <w:p w14:paraId="2891866C">
            <w:pPr>
              <w:tabs>
                <w:tab w:val="left" w:pos="900"/>
                <w:tab w:val="left" w:pos="19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信用信息查询记录和证据留存具体方式：查询结果网页打印页作为查询记录和证据，与其他采购文件一并保存；</w:t>
            </w:r>
          </w:p>
          <w:p w14:paraId="31E2D3E7">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。联合体形式响应的，联合体成员存在不良信用记录，视同联合体存在不良信用记录。</w:t>
            </w:r>
          </w:p>
        </w:tc>
        <w:tc>
          <w:tcPr>
            <w:tcW w:w="1503" w:type="dxa"/>
            <w:vAlign w:val="center"/>
          </w:tcPr>
          <w:p w14:paraId="2CD620D5">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无须供应商提供，由采购人查询。</w:t>
            </w:r>
          </w:p>
        </w:tc>
      </w:tr>
      <w:tr w14:paraId="68A40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04" w:type="dxa"/>
            <w:vAlign w:val="center"/>
          </w:tcPr>
          <w:p w14:paraId="5484D5D3">
            <w:pPr>
              <w:tabs>
                <w:tab w:val="left" w:pos="108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908" w:type="dxa"/>
            <w:vAlign w:val="center"/>
          </w:tcPr>
          <w:p w14:paraId="11D20B0D">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落实政府采购政策需满足的资格要求</w:t>
            </w:r>
          </w:p>
        </w:tc>
        <w:tc>
          <w:tcPr>
            <w:tcW w:w="5287" w:type="dxa"/>
            <w:vAlign w:val="center"/>
          </w:tcPr>
          <w:p w14:paraId="54B6C2C5">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具体要求见第一章《采购邀请》</w:t>
            </w:r>
          </w:p>
        </w:tc>
        <w:tc>
          <w:tcPr>
            <w:tcW w:w="1503" w:type="dxa"/>
            <w:vAlign w:val="center"/>
          </w:tcPr>
          <w:p w14:paraId="5E640716">
            <w:pPr>
              <w:tabs>
                <w:tab w:val="left" w:pos="1080"/>
              </w:tabs>
              <w:rPr>
                <w:rFonts w:hint="eastAsia" w:ascii="宋体" w:hAnsi="宋体" w:eastAsia="宋体" w:cs="宋体"/>
                <w:color w:val="auto"/>
                <w:sz w:val="24"/>
                <w:highlight w:val="none"/>
              </w:rPr>
            </w:pPr>
          </w:p>
        </w:tc>
      </w:tr>
      <w:tr w14:paraId="39B6E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04" w:type="dxa"/>
            <w:shd w:val="clear" w:color="auto" w:fill="auto"/>
            <w:vAlign w:val="center"/>
          </w:tcPr>
          <w:p w14:paraId="564C68DB">
            <w:pPr>
              <w:tabs>
                <w:tab w:val="left" w:pos="1080"/>
              </w:tabs>
              <w:snapToGrid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2-1</w:t>
            </w:r>
          </w:p>
        </w:tc>
        <w:tc>
          <w:tcPr>
            <w:tcW w:w="1908" w:type="dxa"/>
            <w:shd w:val="clear" w:color="auto" w:fill="auto"/>
            <w:vAlign w:val="center"/>
          </w:tcPr>
          <w:p w14:paraId="3D700CDE">
            <w:pPr>
              <w:tabs>
                <w:tab w:val="left" w:pos="1080"/>
              </w:tabs>
              <w:snapToGrid w:val="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中小企业声明函</w:t>
            </w:r>
          </w:p>
        </w:tc>
        <w:tc>
          <w:tcPr>
            <w:tcW w:w="5287" w:type="dxa"/>
            <w:shd w:val="clear" w:color="auto" w:fill="auto"/>
            <w:vAlign w:val="center"/>
          </w:tcPr>
          <w:p w14:paraId="6354717B">
            <w:pPr>
              <w:tabs>
                <w:tab w:val="left" w:pos="1080"/>
              </w:tabs>
              <w:snapToGrid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1、供应商单独参与磋商的，应提供中小企业声明函；如为监狱企业或残疾人福利性单位，不必提供中小企业声明函，但须按注1或注2要求提供证明材料。</w:t>
            </w:r>
          </w:p>
          <w:p w14:paraId="28A79712">
            <w:pPr>
              <w:tabs>
                <w:tab w:val="left" w:pos="1080"/>
              </w:tabs>
              <w:snapToGrid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6AEC9AEE">
            <w:pPr>
              <w:tabs>
                <w:tab w:val="left" w:pos="1080"/>
              </w:tabs>
              <w:snapToGrid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注1：监狱企业须提供由省级以上监狱管理局（常州市含教育矫治局）、戒毒管理局（含新疆生产建设兵团）出具的属于监狱企业的证明文件。</w:t>
            </w:r>
          </w:p>
          <w:p w14:paraId="05827018">
            <w:pPr>
              <w:tabs>
                <w:tab w:val="left" w:pos="1080"/>
              </w:tabs>
              <w:snapToGrid w:val="0"/>
              <w:rPr>
                <w:rFonts w:hint="eastAsia" w:ascii="宋体" w:hAnsi="宋体" w:eastAsia="宋体" w:cs="宋体"/>
                <w:b/>
                <w:color w:val="auto"/>
                <w:sz w:val="24"/>
                <w:szCs w:val="24"/>
                <w:highlight w:val="none"/>
                <w:lang w:val="en-US" w:eastAsia="zh-CN" w:bidi="ar-SA"/>
              </w:rPr>
            </w:pPr>
            <w:r>
              <w:rPr>
                <w:rFonts w:hint="eastAsia" w:ascii="宋体" w:hAnsi="宋体" w:eastAsia="宋体" w:cs="宋体"/>
                <w:bCs/>
                <w:color w:val="auto"/>
                <w:sz w:val="24"/>
                <w:highlight w:val="none"/>
              </w:rPr>
              <w:t>注2：残疾人福利性单位须按磋商文件要求提供《残疾人福利性单位声明函》。</w:t>
            </w:r>
          </w:p>
        </w:tc>
        <w:tc>
          <w:tcPr>
            <w:tcW w:w="1503" w:type="dxa"/>
            <w:shd w:val="clear" w:color="auto" w:fill="auto"/>
            <w:vAlign w:val="center"/>
          </w:tcPr>
          <w:p w14:paraId="74F6D27B">
            <w:pPr>
              <w:tabs>
                <w:tab w:val="left" w:pos="1080"/>
              </w:tabs>
              <w:snapToGrid w:val="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格式见《响应文件格式》</w:t>
            </w:r>
          </w:p>
        </w:tc>
      </w:tr>
      <w:tr w14:paraId="797BD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04" w:type="dxa"/>
            <w:vAlign w:val="center"/>
          </w:tcPr>
          <w:p w14:paraId="690AFE64">
            <w:pPr>
              <w:tabs>
                <w:tab w:val="left" w:pos="108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2-3</w:t>
            </w:r>
          </w:p>
        </w:tc>
        <w:tc>
          <w:tcPr>
            <w:tcW w:w="1908" w:type="dxa"/>
            <w:vAlign w:val="center"/>
          </w:tcPr>
          <w:p w14:paraId="5351015F">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其它落实政府采购政策的资格要求</w:t>
            </w:r>
          </w:p>
        </w:tc>
        <w:tc>
          <w:tcPr>
            <w:tcW w:w="5287" w:type="dxa"/>
            <w:vAlign w:val="center"/>
          </w:tcPr>
          <w:p w14:paraId="65F94D23">
            <w:pPr>
              <w:tabs>
                <w:tab w:val="left" w:pos="1080"/>
              </w:tabs>
              <w:rPr>
                <w:rFonts w:hint="eastAsia" w:ascii="宋体" w:hAnsi="宋体" w:eastAsia="宋体" w:cs="宋体"/>
                <w:color w:val="auto"/>
                <w:sz w:val="24"/>
                <w:highlight w:val="none"/>
              </w:rPr>
            </w:pPr>
            <w:r>
              <w:rPr>
                <w:rFonts w:hint="eastAsia" w:ascii="宋体" w:hAnsi="宋体" w:cs="宋体"/>
                <w:color w:val="auto"/>
                <w:sz w:val="24"/>
                <w:highlight w:val="none"/>
              </w:rPr>
              <w:t>如有的提供，否则无需提供。详见第一章《采购邀请》。</w:t>
            </w:r>
          </w:p>
        </w:tc>
        <w:tc>
          <w:tcPr>
            <w:tcW w:w="1503" w:type="dxa"/>
            <w:vAlign w:val="center"/>
          </w:tcPr>
          <w:p w14:paraId="3C1AD9A4">
            <w:pPr>
              <w:tabs>
                <w:tab w:val="left" w:pos="1080"/>
              </w:tabs>
              <w:rPr>
                <w:rFonts w:hint="eastAsia" w:ascii="宋体" w:hAnsi="宋体" w:eastAsia="宋体" w:cs="宋体"/>
                <w:color w:val="auto"/>
                <w:sz w:val="24"/>
                <w:highlight w:val="none"/>
              </w:rPr>
            </w:pPr>
          </w:p>
        </w:tc>
      </w:tr>
      <w:tr w14:paraId="77A94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04" w:type="dxa"/>
            <w:vAlign w:val="center"/>
          </w:tcPr>
          <w:p w14:paraId="09980EE6">
            <w:pPr>
              <w:tabs>
                <w:tab w:val="left" w:pos="108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908" w:type="dxa"/>
            <w:vAlign w:val="center"/>
          </w:tcPr>
          <w:p w14:paraId="66A1530F">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本项目的特定资格要求</w:t>
            </w:r>
          </w:p>
        </w:tc>
        <w:tc>
          <w:tcPr>
            <w:tcW w:w="5287" w:type="dxa"/>
            <w:vAlign w:val="center"/>
          </w:tcPr>
          <w:p w14:paraId="17AA406D">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如有，见第一章《采购邀请》</w:t>
            </w:r>
          </w:p>
        </w:tc>
        <w:tc>
          <w:tcPr>
            <w:tcW w:w="1503" w:type="dxa"/>
            <w:vAlign w:val="center"/>
          </w:tcPr>
          <w:p w14:paraId="0A94B493">
            <w:pPr>
              <w:tabs>
                <w:tab w:val="left" w:pos="1080"/>
              </w:tabs>
              <w:rPr>
                <w:rFonts w:hint="eastAsia" w:ascii="宋体" w:hAnsi="宋体" w:eastAsia="宋体" w:cs="宋体"/>
                <w:color w:val="auto"/>
                <w:sz w:val="24"/>
                <w:highlight w:val="none"/>
              </w:rPr>
            </w:pPr>
          </w:p>
        </w:tc>
      </w:tr>
      <w:tr w14:paraId="30463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04" w:type="dxa"/>
            <w:vAlign w:val="center"/>
          </w:tcPr>
          <w:p w14:paraId="2A916471">
            <w:pPr>
              <w:tabs>
                <w:tab w:val="left" w:pos="108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3-1</w:t>
            </w:r>
          </w:p>
        </w:tc>
        <w:tc>
          <w:tcPr>
            <w:tcW w:w="1908" w:type="dxa"/>
            <w:vAlign w:val="center"/>
          </w:tcPr>
          <w:p w14:paraId="397637CD">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是否接受联合体响应</w:t>
            </w:r>
          </w:p>
        </w:tc>
        <w:tc>
          <w:tcPr>
            <w:tcW w:w="5287" w:type="dxa"/>
            <w:vAlign w:val="center"/>
          </w:tcPr>
          <w:p w14:paraId="7EEC01F6">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本项目不接受联合体响应，供应商不得为联合体。</w:t>
            </w:r>
          </w:p>
        </w:tc>
        <w:tc>
          <w:tcPr>
            <w:tcW w:w="1503" w:type="dxa"/>
            <w:vAlign w:val="center"/>
          </w:tcPr>
          <w:p w14:paraId="56A07FB7">
            <w:pPr>
              <w:tabs>
                <w:tab w:val="left" w:pos="1080"/>
              </w:tabs>
              <w:rPr>
                <w:rFonts w:hint="eastAsia" w:ascii="宋体" w:hAnsi="宋体" w:eastAsia="宋体" w:cs="宋体"/>
                <w:color w:val="auto"/>
                <w:sz w:val="24"/>
                <w:highlight w:val="none"/>
              </w:rPr>
            </w:pPr>
          </w:p>
        </w:tc>
      </w:tr>
      <w:tr w14:paraId="043AC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04" w:type="dxa"/>
            <w:vAlign w:val="center"/>
          </w:tcPr>
          <w:p w14:paraId="1BBC3597">
            <w:pPr>
              <w:tabs>
                <w:tab w:val="left" w:pos="108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3-2</w:t>
            </w:r>
          </w:p>
        </w:tc>
        <w:tc>
          <w:tcPr>
            <w:tcW w:w="1908" w:type="dxa"/>
            <w:vAlign w:val="center"/>
          </w:tcPr>
          <w:p w14:paraId="08046B50">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其他特定资格要求</w:t>
            </w:r>
          </w:p>
        </w:tc>
        <w:tc>
          <w:tcPr>
            <w:tcW w:w="5287" w:type="dxa"/>
            <w:vAlign w:val="center"/>
          </w:tcPr>
          <w:p w14:paraId="6BDAF1FE">
            <w:pPr>
              <w:tabs>
                <w:tab w:val="left" w:pos="1080"/>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如有特定资格要求的提供，详见第一章《采购邀请》，按本项目的特定资格要求中规定要求提供相关证明文件或材料，否则无需提供。</w:t>
            </w:r>
          </w:p>
        </w:tc>
        <w:tc>
          <w:tcPr>
            <w:tcW w:w="1503" w:type="dxa"/>
            <w:vAlign w:val="center"/>
          </w:tcPr>
          <w:p w14:paraId="52EB2E27">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提供证明文件的电子件或电子证照</w:t>
            </w:r>
          </w:p>
        </w:tc>
      </w:tr>
    </w:tbl>
    <w:p w14:paraId="22899B6C">
      <w:pPr>
        <w:widowControl/>
        <w:jc w:val="left"/>
        <w:rPr>
          <w:color w:val="auto"/>
          <w:sz w:val="24"/>
          <w:highlight w:val="none"/>
        </w:rPr>
      </w:pPr>
      <w:r>
        <w:rPr>
          <w:color w:val="auto"/>
          <w:sz w:val="24"/>
          <w:highlight w:val="none"/>
        </w:rPr>
        <w:br w:type="page" w:clear="all"/>
      </w:r>
    </w:p>
    <w:p w14:paraId="60361436">
      <w:pPr>
        <w:numPr>
          <w:ilvl w:val="1"/>
          <w:numId w:val="0"/>
        </w:numPr>
        <w:tabs>
          <w:tab w:val="left" w:pos="1080"/>
        </w:tabs>
        <w:spacing w:line="360" w:lineRule="auto"/>
        <w:ind w:left="1077" w:leftChars="0" w:hanging="720" w:firstLineChars="0"/>
        <w:rPr>
          <w:rFonts w:hint="eastAsia" w:ascii="宋体" w:hAnsi="宋体" w:eastAsia="宋体" w:cs="宋体"/>
          <w:color w:val="auto"/>
          <w:sz w:val="24"/>
          <w:highlight w:val="none"/>
        </w:rPr>
      </w:pPr>
      <w:r>
        <w:rPr>
          <w:rFonts w:hint="eastAsia" w:ascii="宋体" w:hAnsi="宋体" w:eastAsia="宋体" w:cs="宋体"/>
          <w:b w:val="0"/>
          <w:color w:val="auto"/>
          <w:sz w:val="24"/>
          <w:szCs w:val="24"/>
          <w:highlight w:val="none"/>
          <w:lang w:val="en-US" w:eastAsia="zh-CN" w:bidi="ar-SA"/>
        </w:rPr>
        <w:t>1.4</w:t>
      </w:r>
      <w:r>
        <w:rPr>
          <w:rFonts w:hint="eastAsia" w:ascii="宋体" w:hAnsi="宋体" w:eastAsia="宋体" w:cs="宋体"/>
          <w:color w:val="auto"/>
          <w:sz w:val="24"/>
          <w:highlight w:val="none"/>
        </w:rPr>
        <w:t>《符合性审查要求》见下表：</w:t>
      </w:r>
    </w:p>
    <w:p w14:paraId="3BBE2919">
      <w:pPr>
        <w:widowControl/>
        <w:spacing w:line="360" w:lineRule="auto"/>
        <w:jc w:val="center"/>
        <w:rPr>
          <w:b/>
          <w:color w:val="auto"/>
          <w:sz w:val="24"/>
          <w:highlight w:val="none"/>
        </w:rPr>
      </w:pPr>
      <w:r>
        <w:rPr>
          <w:b/>
          <w:color w:val="auto"/>
          <w:sz w:val="24"/>
          <w:highlight w:val="none"/>
        </w:rPr>
        <w:t>符合性审查要求</w:t>
      </w:r>
    </w:p>
    <w:tbl>
      <w:tblPr>
        <w:tblStyle w:val="36"/>
        <w:tblW w:w="50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4"/>
        <w:gridCol w:w="2199"/>
        <w:gridCol w:w="6857"/>
      </w:tblGrid>
      <w:tr w14:paraId="7D1D0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370" w:type="pct"/>
            <w:noWrap w:val="0"/>
            <w:vAlign w:val="center"/>
          </w:tcPr>
          <w:p w14:paraId="4FD1BA75">
            <w:pPr>
              <w:widowControl/>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1124" w:type="pct"/>
            <w:noWrap w:val="0"/>
            <w:vAlign w:val="center"/>
          </w:tcPr>
          <w:p w14:paraId="47285619">
            <w:pPr>
              <w:widowControl/>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审查因素</w:t>
            </w:r>
          </w:p>
        </w:tc>
        <w:tc>
          <w:tcPr>
            <w:tcW w:w="3504" w:type="pct"/>
            <w:noWrap w:val="0"/>
            <w:vAlign w:val="center"/>
          </w:tcPr>
          <w:p w14:paraId="056F7099">
            <w:pPr>
              <w:widowControl/>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审查内容</w:t>
            </w:r>
          </w:p>
        </w:tc>
      </w:tr>
      <w:tr w14:paraId="66302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70" w:type="pct"/>
            <w:noWrap w:val="0"/>
            <w:vAlign w:val="center"/>
          </w:tcPr>
          <w:p w14:paraId="75FC4B0A">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p>
        </w:tc>
        <w:tc>
          <w:tcPr>
            <w:tcW w:w="1124" w:type="pct"/>
            <w:noWrap w:val="0"/>
            <w:vAlign w:val="center"/>
          </w:tcPr>
          <w:p w14:paraId="314257EE">
            <w:pPr>
              <w:widowControl/>
              <w:jc w:val="center"/>
              <w:rPr>
                <w:rFonts w:hint="eastAsia" w:ascii="宋体" w:hAnsi="宋体" w:cs="宋体"/>
                <w:color w:val="auto"/>
                <w:kern w:val="0"/>
                <w:sz w:val="24"/>
                <w:highlight w:val="none"/>
              </w:rPr>
            </w:pPr>
            <w:r>
              <w:rPr>
                <w:rFonts w:hint="eastAsia"/>
                <w:color w:val="auto"/>
                <w:kern w:val="0"/>
                <w:sz w:val="24"/>
                <w:highlight w:val="none"/>
              </w:rPr>
              <w:t>响应函、</w:t>
            </w:r>
            <w:r>
              <w:rPr>
                <w:rFonts w:hint="eastAsia"/>
                <w:color w:val="auto"/>
                <w:sz w:val="24"/>
                <w:highlight w:val="none"/>
              </w:rPr>
              <w:t>法定代表人资格证明书、法人授权委托书、政府采购供应商信用承诺书和</w:t>
            </w:r>
            <w:r>
              <w:rPr>
                <w:rFonts w:hint="eastAsia" w:ascii="宋体" w:hAnsi="宋体"/>
                <w:color w:val="auto"/>
                <w:sz w:val="24"/>
                <w:highlight w:val="none"/>
              </w:rPr>
              <w:t>供应商管理关系或控股关系信息情况表</w:t>
            </w:r>
          </w:p>
        </w:tc>
        <w:tc>
          <w:tcPr>
            <w:tcW w:w="3504" w:type="pct"/>
            <w:noWrap w:val="0"/>
            <w:vAlign w:val="center"/>
          </w:tcPr>
          <w:p w14:paraId="7F4FA928">
            <w:pPr>
              <w:widowControl/>
              <w:rPr>
                <w:rFonts w:hint="eastAsia" w:ascii="宋体" w:hAnsi="宋体" w:cs="宋体"/>
                <w:color w:val="auto"/>
                <w:kern w:val="0"/>
                <w:sz w:val="24"/>
                <w:highlight w:val="none"/>
              </w:rPr>
            </w:pPr>
            <w:r>
              <w:rPr>
                <w:color w:val="auto"/>
                <w:kern w:val="0"/>
                <w:sz w:val="24"/>
                <w:highlight w:val="none"/>
              </w:rPr>
              <w:t>按</w:t>
            </w:r>
            <w:r>
              <w:rPr>
                <w:rFonts w:hint="eastAsia"/>
                <w:color w:val="auto"/>
                <w:kern w:val="0"/>
                <w:sz w:val="24"/>
                <w:highlight w:val="none"/>
              </w:rPr>
              <w:t>采购</w:t>
            </w:r>
            <w:r>
              <w:rPr>
                <w:color w:val="auto"/>
                <w:kern w:val="0"/>
                <w:sz w:val="24"/>
                <w:highlight w:val="none"/>
              </w:rPr>
              <w:t>文件要求提供</w:t>
            </w:r>
            <w:r>
              <w:rPr>
                <w:rFonts w:hint="eastAsia"/>
                <w:color w:val="auto"/>
                <w:kern w:val="0"/>
                <w:sz w:val="24"/>
                <w:highlight w:val="none"/>
              </w:rPr>
              <w:t>响应函、</w:t>
            </w:r>
            <w:r>
              <w:rPr>
                <w:rFonts w:hint="eastAsia"/>
                <w:color w:val="auto"/>
                <w:sz w:val="24"/>
                <w:highlight w:val="none"/>
              </w:rPr>
              <w:t>法定代表人资格证明书、法人授权委托书、政府采购供应商信用承诺书和</w:t>
            </w:r>
            <w:r>
              <w:rPr>
                <w:rFonts w:hint="eastAsia" w:ascii="宋体" w:hAnsi="宋体"/>
                <w:color w:val="auto"/>
                <w:sz w:val="24"/>
                <w:highlight w:val="none"/>
              </w:rPr>
              <w:t>供应商管理关系或控股关系信息情况表</w:t>
            </w:r>
            <w:r>
              <w:rPr>
                <w:color w:val="auto"/>
                <w:kern w:val="0"/>
                <w:sz w:val="24"/>
                <w:highlight w:val="none"/>
              </w:rPr>
              <w:t>；</w:t>
            </w:r>
            <w:r>
              <w:rPr>
                <w:rFonts w:hint="eastAsia"/>
                <w:color w:val="auto"/>
                <w:kern w:val="0"/>
                <w:sz w:val="24"/>
                <w:highlight w:val="none"/>
              </w:rPr>
              <w:t>（格式见《响应文件格式》）。</w:t>
            </w:r>
          </w:p>
        </w:tc>
      </w:tr>
      <w:tr w14:paraId="746A1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70" w:type="pct"/>
            <w:noWrap w:val="0"/>
            <w:vAlign w:val="center"/>
          </w:tcPr>
          <w:p w14:paraId="2684C60D">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w:t>
            </w:r>
          </w:p>
        </w:tc>
        <w:tc>
          <w:tcPr>
            <w:tcW w:w="1124" w:type="pct"/>
            <w:noWrap w:val="0"/>
            <w:vAlign w:val="center"/>
          </w:tcPr>
          <w:p w14:paraId="50A02B7B">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响应报价</w:t>
            </w:r>
          </w:p>
        </w:tc>
        <w:tc>
          <w:tcPr>
            <w:tcW w:w="3504" w:type="pct"/>
            <w:noWrap w:val="0"/>
            <w:vAlign w:val="center"/>
          </w:tcPr>
          <w:p w14:paraId="507C03EE">
            <w:pPr>
              <w:widowControl/>
              <w:rPr>
                <w:rFonts w:hint="eastAsia" w:ascii="宋体" w:hAnsi="宋体" w:cs="宋体"/>
                <w:color w:val="auto"/>
                <w:kern w:val="0"/>
                <w:sz w:val="24"/>
                <w:highlight w:val="none"/>
              </w:rPr>
            </w:pPr>
            <w:r>
              <w:rPr>
                <w:rFonts w:hint="eastAsia" w:ascii="宋体" w:hAnsi="宋体" w:cs="宋体"/>
                <w:color w:val="auto"/>
                <w:sz w:val="24"/>
                <w:highlight w:val="none"/>
              </w:rPr>
              <w:t>（由评委审查，无需供应商提供材料。）报价一览表</w:t>
            </w:r>
            <w:r>
              <w:rPr>
                <w:rFonts w:hint="eastAsia" w:ascii="宋体" w:hAnsi="宋体" w:cs="宋体"/>
                <w:color w:val="auto"/>
                <w:kern w:val="0"/>
                <w:sz w:val="24"/>
                <w:highlight w:val="none"/>
              </w:rPr>
              <w:t>响应报价未</w:t>
            </w:r>
            <w:r>
              <w:rPr>
                <w:rFonts w:hint="eastAsia" w:ascii="宋体" w:hAnsi="宋体" w:cs="宋体"/>
                <w:color w:val="auto"/>
                <w:sz w:val="24"/>
                <w:highlight w:val="none"/>
              </w:rPr>
              <w:t>超过采购文件中规定的项目/采购包预算金额或者项目/采购包最高限价。</w:t>
            </w:r>
          </w:p>
        </w:tc>
      </w:tr>
      <w:tr w14:paraId="5F84E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70" w:type="pct"/>
            <w:noWrap w:val="0"/>
            <w:vAlign w:val="center"/>
          </w:tcPr>
          <w:p w14:paraId="234B28D9">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3</w:t>
            </w:r>
          </w:p>
        </w:tc>
        <w:tc>
          <w:tcPr>
            <w:tcW w:w="1124" w:type="pct"/>
            <w:noWrap w:val="0"/>
            <w:vAlign w:val="center"/>
          </w:tcPr>
          <w:p w14:paraId="4611BFDC">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报价唯一性</w:t>
            </w:r>
          </w:p>
        </w:tc>
        <w:tc>
          <w:tcPr>
            <w:tcW w:w="3504" w:type="pct"/>
            <w:noWrap w:val="0"/>
            <w:vAlign w:val="center"/>
          </w:tcPr>
          <w:p w14:paraId="4F3BB152">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响应文件未</w:t>
            </w:r>
            <w:r>
              <w:rPr>
                <w:rFonts w:hint="eastAsia" w:ascii="宋体" w:hAnsi="宋体" w:cs="宋体"/>
                <w:color w:val="auto"/>
                <w:sz w:val="24"/>
                <w:highlight w:val="none"/>
              </w:rPr>
              <w:t>出现可选择性或可调整的报价（采购文件另有规定的除外）</w:t>
            </w:r>
            <w:r>
              <w:rPr>
                <w:rFonts w:hint="eastAsia" w:ascii="宋体" w:hAnsi="宋体" w:cs="宋体"/>
                <w:color w:val="auto"/>
                <w:kern w:val="0"/>
                <w:sz w:val="24"/>
                <w:highlight w:val="none"/>
              </w:rPr>
              <w:t>；（提供《报价一览表》，格式见《响应文件格式》）</w:t>
            </w:r>
          </w:p>
        </w:tc>
      </w:tr>
      <w:tr w14:paraId="3BD01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70" w:type="pct"/>
            <w:noWrap w:val="0"/>
            <w:vAlign w:val="center"/>
          </w:tcPr>
          <w:p w14:paraId="38107751">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4</w:t>
            </w:r>
          </w:p>
        </w:tc>
        <w:tc>
          <w:tcPr>
            <w:tcW w:w="1124" w:type="pct"/>
            <w:noWrap w:val="0"/>
            <w:vAlign w:val="center"/>
          </w:tcPr>
          <w:p w14:paraId="2FE50C9C">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报价合理性</w:t>
            </w:r>
          </w:p>
        </w:tc>
        <w:tc>
          <w:tcPr>
            <w:tcW w:w="3504" w:type="pct"/>
            <w:noWrap w:val="0"/>
            <w:vAlign w:val="center"/>
          </w:tcPr>
          <w:p w14:paraId="3E48E395">
            <w:pPr>
              <w:widowControl/>
              <w:rPr>
                <w:rFonts w:hint="eastAsia" w:ascii="宋体" w:hAnsi="宋体" w:cs="宋体"/>
                <w:color w:val="auto"/>
                <w:sz w:val="24"/>
                <w:highlight w:val="none"/>
              </w:rPr>
            </w:pPr>
            <w:r>
              <w:rPr>
                <w:rFonts w:hint="eastAsia" w:ascii="宋体" w:hAnsi="宋体" w:cs="宋体"/>
                <w:color w:val="auto"/>
                <w:sz w:val="24"/>
                <w:highlight w:val="none"/>
              </w:rPr>
              <w:t>（由评委审查，报价合理的予以通过。）根据苏财购〔2025〕62号文件规定，评审中出现下列情形之一的，评标委员会（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p>
        </w:tc>
      </w:tr>
      <w:tr w14:paraId="180C1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70" w:type="pct"/>
            <w:noWrap w:val="0"/>
            <w:vAlign w:val="center"/>
          </w:tcPr>
          <w:p w14:paraId="68228E2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1124" w:type="pct"/>
            <w:noWrap w:val="0"/>
            <w:vAlign w:val="center"/>
          </w:tcPr>
          <w:p w14:paraId="11E2AE5B">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报价的修正</w:t>
            </w:r>
          </w:p>
          <w:p w14:paraId="61954B3B">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（如有）</w:t>
            </w:r>
          </w:p>
        </w:tc>
        <w:tc>
          <w:tcPr>
            <w:tcW w:w="3504" w:type="pct"/>
            <w:noWrap w:val="0"/>
            <w:vAlign w:val="center"/>
          </w:tcPr>
          <w:p w14:paraId="2734575D">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（由评委审查，无需供应商提供材料。）不涉及报价修正，或响应文件报价出现前后不一致时，供应商对修正后的报价予以确认。</w:t>
            </w:r>
          </w:p>
        </w:tc>
      </w:tr>
      <w:tr w14:paraId="59E73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70" w:type="pct"/>
            <w:noWrap w:val="0"/>
            <w:vAlign w:val="center"/>
          </w:tcPr>
          <w:p w14:paraId="19071A4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1124" w:type="pct"/>
            <w:noWrap w:val="0"/>
            <w:vAlign w:val="center"/>
          </w:tcPr>
          <w:p w14:paraId="135F2C33">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签署、加盖公章</w:t>
            </w:r>
          </w:p>
        </w:tc>
        <w:tc>
          <w:tcPr>
            <w:tcW w:w="3504" w:type="pct"/>
            <w:noWrap w:val="0"/>
            <w:vAlign w:val="center"/>
          </w:tcPr>
          <w:p w14:paraId="4F3EF891">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（由评委审查，无需供应商提供材料。）按照采购文件要求签署、加盖公章的。</w:t>
            </w:r>
          </w:p>
        </w:tc>
      </w:tr>
      <w:tr w14:paraId="0656E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70" w:type="pct"/>
            <w:noWrap w:val="0"/>
            <w:vAlign w:val="center"/>
          </w:tcPr>
          <w:p w14:paraId="5ABD7B8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1124" w:type="pct"/>
            <w:noWrap w:val="0"/>
            <w:vAlign w:val="center"/>
          </w:tcPr>
          <w:p w14:paraId="173D84FD">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响应完整性</w:t>
            </w:r>
          </w:p>
        </w:tc>
        <w:tc>
          <w:tcPr>
            <w:tcW w:w="3504" w:type="pct"/>
            <w:noWrap w:val="0"/>
            <w:vAlign w:val="center"/>
          </w:tcPr>
          <w:p w14:paraId="158F293C">
            <w:pPr>
              <w:widowControl/>
              <w:rPr>
                <w:rFonts w:hint="eastAsia" w:ascii="宋体" w:hAnsi="宋体" w:cs="宋体"/>
                <w:color w:val="auto"/>
                <w:kern w:val="0"/>
                <w:sz w:val="24"/>
                <w:highlight w:val="none"/>
              </w:rPr>
            </w:pPr>
            <w:r>
              <w:rPr>
                <w:rFonts w:hint="eastAsia" w:ascii="宋体" w:hAnsi="宋体" w:cs="宋体"/>
                <w:color w:val="auto"/>
                <w:sz w:val="24"/>
                <w:highlight w:val="none"/>
              </w:rPr>
              <w:t>（由评委审查，无需供应商提供材料。）响应文件未将一个采购包中的内容拆开响应。</w:t>
            </w:r>
          </w:p>
        </w:tc>
      </w:tr>
      <w:tr w14:paraId="4224D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70" w:type="pct"/>
            <w:noWrap w:val="0"/>
            <w:vAlign w:val="center"/>
          </w:tcPr>
          <w:p w14:paraId="796562B4">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8</w:t>
            </w:r>
          </w:p>
        </w:tc>
        <w:tc>
          <w:tcPr>
            <w:tcW w:w="1124" w:type="pct"/>
            <w:noWrap w:val="0"/>
            <w:vAlign w:val="center"/>
          </w:tcPr>
          <w:p w14:paraId="531561F6">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响应有效期</w:t>
            </w:r>
          </w:p>
        </w:tc>
        <w:tc>
          <w:tcPr>
            <w:tcW w:w="3504" w:type="pct"/>
            <w:noWrap w:val="0"/>
            <w:vAlign w:val="center"/>
          </w:tcPr>
          <w:p w14:paraId="3F82624F">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响应文件中承诺的响应有效期满足采购文件中载明的响应有效期的；（详见附件响应函）</w:t>
            </w:r>
          </w:p>
        </w:tc>
      </w:tr>
      <w:tr w14:paraId="50DCF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70" w:type="pct"/>
            <w:noWrap w:val="0"/>
            <w:vAlign w:val="center"/>
          </w:tcPr>
          <w:p w14:paraId="62B5604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1124" w:type="pct"/>
            <w:noWrap w:val="0"/>
            <w:vAlign w:val="center"/>
          </w:tcPr>
          <w:p w14:paraId="68B22EB6">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实质性格式</w:t>
            </w:r>
          </w:p>
        </w:tc>
        <w:tc>
          <w:tcPr>
            <w:tcW w:w="3504" w:type="pct"/>
            <w:noWrap w:val="0"/>
            <w:vAlign w:val="center"/>
          </w:tcPr>
          <w:p w14:paraId="631E9CFF">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标记为“实质性格式”的文件均按磋商文件要求提供；（详见附件《响应文件格式》）</w:t>
            </w:r>
          </w:p>
        </w:tc>
      </w:tr>
      <w:tr w14:paraId="219CC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70" w:type="pct"/>
            <w:noWrap w:val="0"/>
            <w:vAlign w:val="center"/>
          </w:tcPr>
          <w:p w14:paraId="7000D7E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1124" w:type="pct"/>
            <w:noWrap w:val="0"/>
            <w:vAlign w:val="center"/>
          </w:tcPr>
          <w:p w14:paraId="589582EB">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★号条款响应</w:t>
            </w:r>
          </w:p>
        </w:tc>
        <w:tc>
          <w:tcPr>
            <w:tcW w:w="3504" w:type="pct"/>
            <w:noWrap w:val="0"/>
            <w:vAlign w:val="center"/>
          </w:tcPr>
          <w:p w14:paraId="1CB0C563">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响应文件满足磋商文件</w:t>
            </w:r>
            <w:r>
              <w:rPr>
                <w:rFonts w:hint="eastAsia" w:ascii="宋体" w:hAnsi="宋体" w:cs="宋体"/>
                <w:color w:val="auto"/>
                <w:sz w:val="24"/>
                <w:highlight w:val="none"/>
              </w:rPr>
              <w:t>第五章《采购需求》</w:t>
            </w:r>
            <w:r>
              <w:rPr>
                <w:rFonts w:hint="eastAsia" w:ascii="宋体" w:hAnsi="宋体" w:cs="宋体"/>
                <w:color w:val="auto"/>
                <w:kern w:val="0"/>
                <w:sz w:val="24"/>
                <w:highlight w:val="none"/>
              </w:rPr>
              <w:t>中★号条款要求的；</w:t>
            </w:r>
            <w:r>
              <w:rPr>
                <w:rFonts w:hint="eastAsia" w:ascii="宋体" w:hAnsi="宋体"/>
                <w:color w:val="auto"/>
                <w:sz w:val="24"/>
                <w:highlight w:val="none"/>
              </w:rPr>
              <w:t>（如</w:t>
            </w:r>
            <w:r>
              <w:rPr>
                <w:rFonts w:ascii="宋体" w:hAnsi="宋体"/>
                <w:color w:val="auto"/>
                <w:sz w:val="24"/>
                <w:highlight w:val="none"/>
              </w:rPr>
              <w:t>第</w:t>
            </w:r>
            <w:r>
              <w:rPr>
                <w:rFonts w:hint="eastAsia" w:ascii="宋体" w:hAnsi="宋体"/>
                <w:color w:val="auto"/>
                <w:sz w:val="24"/>
                <w:highlight w:val="none"/>
              </w:rPr>
              <w:t>四</w:t>
            </w:r>
            <w:r>
              <w:rPr>
                <w:rFonts w:ascii="宋体" w:hAnsi="宋体"/>
                <w:color w:val="auto"/>
                <w:sz w:val="24"/>
                <w:highlight w:val="none"/>
              </w:rPr>
              <w:t>章《采购需求》中</w:t>
            </w:r>
            <w:r>
              <w:rPr>
                <w:rFonts w:hint="eastAsia" w:ascii="宋体" w:hAnsi="宋体"/>
                <w:color w:val="auto"/>
                <w:sz w:val="24"/>
                <w:highlight w:val="none"/>
              </w:rPr>
              <w:t>有</w:t>
            </w:r>
            <w:r>
              <w:rPr>
                <w:rFonts w:ascii="宋体" w:hAnsi="宋体" w:cs="Segoe UI Symbol"/>
                <w:color w:val="auto"/>
                <w:sz w:val="24"/>
                <w:highlight w:val="none"/>
              </w:rPr>
              <w:t>★</w:t>
            </w:r>
            <w:r>
              <w:rPr>
                <w:rFonts w:ascii="宋体" w:hAnsi="宋体"/>
                <w:color w:val="auto"/>
                <w:sz w:val="24"/>
                <w:highlight w:val="none"/>
              </w:rPr>
              <w:t>号条款要求</w:t>
            </w:r>
            <w:r>
              <w:rPr>
                <w:rFonts w:hint="eastAsia" w:ascii="宋体" w:hAnsi="宋体"/>
                <w:color w:val="auto"/>
                <w:sz w:val="24"/>
                <w:highlight w:val="none"/>
              </w:rPr>
              <w:t>的，按照序号逐项提供相关证明材料；如</w:t>
            </w:r>
            <w:r>
              <w:rPr>
                <w:rFonts w:ascii="宋体" w:hAnsi="宋体"/>
                <w:color w:val="auto"/>
                <w:sz w:val="24"/>
                <w:highlight w:val="none"/>
              </w:rPr>
              <w:t>第</w:t>
            </w:r>
            <w:r>
              <w:rPr>
                <w:rFonts w:hint="eastAsia" w:ascii="宋体" w:hAnsi="宋体"/>
                <w:color w:val="auto"/>
                <w:sz w:val="24"/>
                <w:highlight w:val="none"/>
                <w:lang w:eastAsia="zh-CN"/>
              </w:rPr>
              <w:t>四</w:t>
            </w:r>
            <w:r>
              <w:rPr>
                <w:rFonts w:ascii="宋体" w:hAnsi="宋体"/>
                <w:color w:val="auto"/>
                <w:sz w:val="24"/>
                <w:highlight w:val="none"/>
              </w:rPr>
              <w:t>章《采购需求》中</w:t>
            </w:r>
            <w:r>
              <w:rPr>
                <w:rFonts w:hint="eastAsia" w:ascii="宋体" w:hAnsi="宋体"/>
                <w:color w:val="auto"/>
                <w:sz w:val="24"/>
                <w:highlight w:val="none"/>
              </w:rPr>
              <w:t>没有</w:t>
            </w:r>
            <w:r>
              <w:rPr>
                <w:rFonts w:ascii="宋体" w:hAnsi="宋体" w:cs="Segoe UI Symbol"/>
                <w:color w:val="auto"/>
                <w:sz w:val="24"/>
                <w:highlight w:val="none"/>
              </w:rPr>
              <w:t>★</w:t>
            </w:r>
            <w:r>
              <w:rPr>
                <w:rFonts w:ascii="宋体" w:hAnsi="宋体"/>
                <w:color w:val="auto"/>
                <w:sz w:val="24"/>
                <w:highlight w:val="none"/>
              </w:rPr>
              <w:t>号条款要求</w:t>
            </w:r>
            <w:r>
              <w:rPr>
                <w:rFonts w:hint="eastAsia" w:ascii="宋体" w:hAnsi="宋体"/>
                <w:color w:val="auto"/>
                <w:sz w:val="24"/>
                <w:highlight w:val="none"/>
              </w:rPr>
              <w:t>的，则无需供应商提供材料。）</w:t>
            </w:r>
          </w:p>
        </w:tc>
      </w:tr>
      <w:tr w14:paraId="024DA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70" w:type="pct"/>
            <w:noWrap w:val="0"/>
            <w:vAlign w:val="center"/>
          </w:tcPr>
          <w:p w14:paraId="695CA7B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1124" w:type="pct"/>
            <w:noWrap w:val="0"/>
            <w:vAlign w:val="center"/>
          </w:tcPr>
          <w:p w14:paraId="7BF6FFA6">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分包承担主体资质（如有）</w:t>
            </w:r>
          </w:p>
        </w:tc>
        <w:tc>
          <w:tcPr>
            <w:tcW w:w="3504" w:type="pct"/>
            <w:noWrap w:val="0"/>
            <w:vAlign w:val="center"/>
          </w:tcPr>
          <w:p w14:paraId="3CDB37F5">
            <w:pPr>
              <w:widowControl/>
              <w:rPr>
                <w:rFonts w:hint="eastAsia" w:ascii="宋体" w:hAnsi="宋体" w:cs="宋体"/>
                <w:color w:val="auto"/>
                <w:kern w:val="0"/>
                <w:sz w:val="24"/>
                <w:highlight w:val="none"/>
              </w:rPr>
            </w:pPr>
            <w:r>
              <w:rPr>
                <w:rFonts w:hint="eastAsia" w:ascii="宋体" w:hAnsi="宋体" w:cs="宋体"/>
                <w:color w:val="auto"/>
                <w:sz w:val="24"/>
                <w:highlight w:val="none"/>
              </w:rPr>
              <w:t>分包承担主体具备《供应商须知资料表》载明的资质条件且提供了资质证书电子件（如有）；</w:t>
            </w:r>
          </w:p>
        </w:tc>
      </w:tr>
      <w:tr w14:paraId="2C7DE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70" w:type="pct"/>
            <w:noWrap w:val="0"/>
            <w:vAlign w:val="center"/>
          </w:tcPr>
          <w:p w14:paraId="78E1A89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12</w:t>
            </w:r>
          </w:p>
        </w:tc>
        <w:tc>
          <w:tcPr>
            <w:tcW w:w="1124" w:type="pct"/>
            <w:noWrap w:val="0"/>
            <w:vAlign w:val="center"/>
          </w:tcPr>
          <w:p w14:paraId="454656CC">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分包意向协议</w:t>
            </w:r>
          </w:p>
          <w:p w14:paraId="0A0585A5">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（如有）</w:t>
            </w:r>
          </w:p>
        </w:tc>
        <w:tc>
          <w:tcPr>
            <w:tcW w:w="3504" w:type="pct"/>
            <w:noWrap w:val="0"/>
            <w:vAlign w:val="center"/>
          </w:tcPr>
          <w:p w14:paraId="6A10FF2E">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按磋商文件规定签订并提供分包意向协议原件的电子件的；</w:t>
            </w:r>
            <w:r>
              <w:rPr>
                <w:rFonts w:hint="eastAsia" w:ascii="宋体" w:hAnsi="宋体" w:cs="宋体"/>
                <w:color w:val="auto"/>
                <w:sz w:val="24"/>
                <w:highlight w:val="none"/>
              </w:rPr>
              <w:t>（如有）</w:t>
            </w:r>
          </w:p>
        </w:tc>
      </w:tr>
      <w:tr w14:paraId="0BEAD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70" w:type="pct"/>
            <w:noWrap w:val="0"/>
            <w:vAlign w:val="center"/>
          </w:tcPr>
          <w:p w14:paraId="15587879">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13</w:t>
            </w:r>
          </w:p>
        </w:tc>
        <w:tc>
          <w:tcPr>
            <w:tcW w:w="1124" w:type="pct"/>
            <w:noWrap w:val="0"/>
            <w:vAlign w:val="center"/>
          </w:tcPr>
          <w:p w14:paraId="14188C8C">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国家有关部门对供应商的响应产品有强制性规定或要求的</w:t>
            </w:r>
          </w:p>
        </w:tc>
        <w:tc>
          <w:tcPr>
            <w:tcW w:w="3504" w:type="pct"/>
            <w:noWrap w:val="0"/>
            <w:vAlign w:val="center"/>
          </w:tcPr>
          <w:p w14:paraId="33DBA8CA">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国家有关部门对供应商的响应产品有强制性规定或要求的（如相应技术、安全、节能和环保等），如有下列情形的，供应商的响应产品应符合相应规定或要求，并提供证明文件电子件：</w:t>
            </w:r>
          </w:p>
          <w:p w14:paraId="1D1756BD">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1）采购的产品若属于《节能产品政府采购品目清单》范围中政府强制采购产品，则供应商所报产品必须获得国家确定的认证机构出具的、处于有效期之内的节能产品认证证书；</w:t>
            </w:r>
          </w:p>
          <w:p w14:paraId="7C3A3C8A">
            <w:pPr>
              <w:widowControl/>
              <w:rPr>
                <w:rFonts w:hint="eastAsia" w:ascii="宋体" w:hAnsi="宋体" w:cs="宋体"/>
                <w:color w:val="auto"/>
                <w:kern w:val="0"/>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0FE44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70" w:type="pct"/>
            <w:noWrap w:val="0"/>
            <w:vAlign w:val="center"/>
          </w:tcPr>
          <w:p w14:paraId="39473B1F">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14</w:t>
            </w:r>
          </w:p>
        </w:tc>
        <w:tc>
          <w:tcPr>
            <w:tcW w:w="1124" w:type="pct"/>
            <w:noWrap w:val="0"/>
            <w:vAlign w:val="center"/>
          </w:tcPr>
          <w:p w14:paraId="6B5A6C81">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公平竞争</w:t>
            </w:r>
          </w:p>
        </w:tc>
        <w:tc>
          <w:tcPr>
            <w:tcW w:w="3504" w:type="pct"/>
            <w:noWrap w:val="0"/>
            <w:vAlign w:val="center"/>
          </w:tcPr>
          <w:p w14:paraId="6DC4C002">
            <w:pPr>
              <w:widowControl/>
              <w:rPr>
                <w:rFonts w:hint="eastAsia" w:ascii="宋体" w:hAnsi="宋体" w:cs="宋体"/>
                <w:color w:val="auto"/>
                <w:kern w:val="0"/>
                <w:sz w:val="24"/>
                <w:highlight w:val="none"/>
              </w:rPr>
            </w:pPr>
            <w:r>
              <w:rPr>
                <w:rFonts w:hint="eastAsia" w:ascii="宋体" w:hAnsi="宋体" w:cs="宋体"/>
                <w:color w:val="auto"/>
                <w:sz w:val="24"/>
                <w:highlight w:val="none"/>
              </w:rPr>
              <w:t>（由评委审查，</w:t>
            </w:r>
            <w:r>
              <w:rPr>
                <w:rFonts w:hint="eastAsia" w:ascii="宋体" w:hAnsi="宋体"/>
                <w:color w:val="auto"/>
                <w:sz w:val="24"/>
                <w:highlight w:val="none"/>
              </w:rPr>
              <w:t>无需供应商提供材料。）</w:t>
            </w:r>
            <w:r>
              <w:rPr>
                <w:rFonts w:hint="eastAsia" w:ascii="宋体" w:hAnsi="宋体" w:cs="宋体"/>
                <w:color w:val="auto"/>
                <w:sz w:val="24"/>
                <w:highlight w:val="none"/>
              </w:rPr>
              <w:t>供应商遵循公平竞争的原则，不存在恶意串通，妨碍其他供应商的竞争行为，不存在损害采购人或者其他供应商的合法权益情形的；</w:t>
            </w:r>
          </w:p>
        </w:tc>
      </w:tr>
      <w:tr w14:paraId="7C924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2" w:hRule="atLeast"/>
          <w:jc w:val="center"/>
        </w:trPr>
        <w:tc>
          <w:tcPr>
            <w:tcW w:w="370" w:type="pct"/>
            <w:noWrap w:val="0"/>
            <w:vAlign w:val="center"/>
          </w:tcPr>
          <w:p w14:paraId="621F185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15</w:t>
            </w:r>
          </w:p>
        </w:tc>
        <w:tc>
          <w:tcPr>
            <w:tcW w:w="1124" w:type="pct"/>
            <w:noWrap w:val="0"/>
            <w:vAlign w:val="center"/>
          </w:tcPr>
          <w:p w14:paraId="10CD1A82">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串通响应</w:t>
            </w:r>
          </w:p>
        </w:tc>
        <w:tc>
          <w:tcPr>
            <w:tcW w:w="3504" w:type="pct"/>
            <w:noWrap w:val="0"/>
            <w:vAlign w:val="center"/>
          </w:tcPr>
          <w:p w14:paraId="61E27C8D">
            <w:pPr>
              <w:widowControl/>
              <w:rPr>
                <w:rFonts w:hint="eastAsia" w:ascii="宋体" w:hAnsi="宋体" w:cs="宋体"/>
                <w:color w:val="auto"/>
                <w:kern w:val="0"/>
                <w:sz w:val="24"/>
                <w:highlight w:val="none"/>
              </w:rPr>
            </w:pPr>
            <w:r>
              <w:rPr>
                <w:rFonts w:hint="eastAsia" w:ascii="宋体" w:hAnsi="宋体" w:cs="宋体"/>
                <w:color w:val="auto"/>
                <w:sz w:val="24"/>
                <w:highlight w:val="none"/>
              </w:rPr>
              <w:t>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p>
        </w:tc>
      </w:tr>
      <w:tr w14:paraId="46347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370" w:type="pct"/>
            <w:noWrap w:val="0"/>
            <w:vAlign w:val="center"/>
          </w:tcPr>
          <w:p w14:paraId="0AF91551">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16</w:t>
            </w:r>
          </w:p>
        </w:tc>
        <w:tc>
          <w:tcPr>
            <w:tcW w:w="1124" w:type="pct"/>
            <w:noWrap w:val="0"/>
            <w:vAlign w:val="center"/>
          </w:tcPr>
          <w:p w14:paraId="746414A7">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附加条件</w:t>
            </w:r>
          </w:p>
        </w:tc>
        <w:tc>
          <w:tcPr>
            <w:tcW w:w="3504" w:type="pct"/>
            <w:noWrap w:val="0"/>
            <w:vAlign w:val="center"/>
          </w:tcPr>
          <w:p w14:paraId="0981DC45">
            <w:pPr>
              <w:widowControl/>
              <w:rPr>
                <w:rFonts w:hint="eastAsia" w:ascii="宋体" w:hAnsi="宋体" w:cs="宋体"/>
                <w:color w:val="auto"/>
                <w:kern w:val="0"/>
                <w:sz w:val="24"/>
                <w:highlight w:val="none"/>
              </w:rPr>
            </w:pPr>
            <w:r>
              <w:rPr>
                <w:rFonts w:hint="eastAsia" w:ascii="宋体" w:hAnsi="宋体" w:cs="宋体"/>
                <w:color w:val="auto"/>
                <w:sz w:val="24"/>
                <w:highlight w:val="none"/>
              </w:rPr>
              <w:t>（由评委审查，</w:t>
            </w:r>
            <w:r>
              <w:rPr>
                <w:rFonts w:hint="eastAsia" w:ascii="宋体" w:hAnsi="宋体"/>
                <w:color w:val="auto"/>
                <w:sz w:val="24"/>
                <w:highlight w:val="none"/>
              </w:rPr>
              <w:t>无需供应商提供材料。）</w:t>
            </w:r>
            <w:r>
              <w:rPr>
                <w:rFonts w:hint="eastAsia" w:ascii="宋体" w:hAnsi="宋体" w:cs="宋体"/>
                <w:color w:val="auto"/>
                <w:kern w:val="0"/>
                <w:sz w:val="24"/>
                <w:highlight w:val="none"/>
              </w:rPr>
              <w:t>响应文件未含有采购人不能接受的附加条件的；</w:t>
            </w:r>
          </w:p>
        </w:tc>
      </w:tr>
      <w:tr w14:paraId="54FC9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70" w:type="pct"/>
            <w:noWrap w:val="0"/>
            <w:vAlign w:val="center"/>
          </w:tcPr>
          <w:p w14:paraId="0B87B2F1">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17</w:t>
            </w:r>
          </w:p>
        </w:tc>
        <w:tc>
          <w:tcPr>
            <w:tcW w:w="1124" w:type="pct"/>
            <w:noWrap w:val="0"/>
            <w:vAlign w:val="center"/>
          </w:tcPr>
          <w:p w14:paraId="04344F08">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其他无效情形</w:t>
            </w:r>
          </w:p>
        </w:tc>
        <w:tc>
          <w:tcPr>
            <w:tcW w:w="3504" w:type="pct"/>
            <w:noWrap w:val="0"/>
            <w:vAlign w:val="center"/>
          </w:tcPr>
          <w:p w14:paraId="7007F83D">
            <w:pPr>
              <w:widowControl/>
              <w:rPr>
                <w:rFonts w:hint="eastAsia" w:ascii="宋体" w:hAnsi="宋体" w:cs="宋体"/>
                <w:color w:val="auto"/>
                <w:kern w:val="0"/>
                <w:sz w:val="24"/>
                <w:highlight w:val="none"/>
              </w:rPr>
            </w:pPr>
            <w:r>
              <w:rPr>
                <w:rFonts w:hint="eastAsia" w:ascii="宋体" w:hAnsi="宋体" w:cs="宋体"/>
                <w:color w:val="auto"/>
                <w:sz w:val="24"/>
                <w:highlight w:val="none"/>
              </w:rPr>
              <w:t>（由评委审查，</w:t>
            </w:r>
            <w:r>
              <w:rPr>
                <w:rFonts w:hint="eastAsia" w:ascii="宋体" w:hAnsi="宋体"/>
                <w:color w:val="auto"/>
                <w:sz w:val="24"/>
                <w:highlight w:val="none"/>
              </w:rPr>
              <w:t>无需供应商提供材料。）</w:t>
            </w:r>
            <w:r>
              <w:rPr>
                <w:rFonts w:hint="eastAsia" w:ascii="宋体" w:hAnsi="宋体" w:cs="宋体"/>
                <w:color w:val="auto"/>
                <w:sz w:val="24"/>
                <w:highlight w:val="none"/>
              </w:rPr>
              <w:t>供应商、响应文件不存在不符合法律、法规和磋商文件规定的其他无效情形。</w:t>
            </w:r>
          </w:p>
        </w:tc>
      </w:tr>
    </w:tbl>
    <w:p w14:paraId="6CB4114B">
      <w:pPr>
        <w:pStyle w:val="44"/>
      </w:pPr>
    </w:p>
    <w:p w14:paraId="31BC46D0">
      <w:pPr>
        <w:keepNext w:val="0"/>
        <w:keepLines w:val="0"/>
        <w:pageBreakBefore w:val="0"/>
        <w:numPr>
          <w:ilvl w:val="0"/>
          <w:numId w:val="0"/>
        </w:numPr>
        <w:tabs>
          <w:tab w:val="left" w:pos="360"/>
        </w:tabs>
        <w:kinsoku/>
        <w:wordWrap/>
        <w:overflowPunct/>
        <w:topLinePunct w:val="0"/>
        <w:autoSpaceDE/>
        <w:autoSpaceDN/>
        <w:bidi w:val="0"/>
        <w:adjustRightInd/>
        <w:snapToGri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2</w:t>
      </w:r>
      <w:r>
        <w:rPr>
          <w:rFonts w:hint="eastAsia" w:ascii="宋体" w:hAnsi="宋体" w:eastAsia="宋体" w:cs="宋体"/>
          <w:b/>
          <w:bCs/>
          <w:color w:val="auto"/>
          <w:sz w:val="24"/>
          <w:szCs w:val="24"/>
          <w:highlight w:val="none"/>
        </w:rPr>
        <w:t>磋商、响应文件有关事项的澄清、说明或者更正和最终报价</w:t>
      </w:r>
    </w:p>
    <w:p w14:paraId="3326787C">
      <w:pPr>
        <w:keepNext w:val="0"/>
        <w:keepLines w:val="0"/>
        <w:pageBreakBefore w:val="0"/>
        <w:numPr>
          <w:ilvl w:val="1"/>
          <w:numId w:val="0"/>
        </w:numPr>
        <w:tabs>
          <w:tab w:val="left" w:pos="108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2.1</w:t>
      </w:r>
      <w:r>
        <w:rPr>
          <w:rFonts w:hint="eastAsia" w:ascii="宋体" w:hAnsi="宋体" w:eastAsia="宋体" w:cs="宋体"/>
          <w:color w:val="auto"/>
          <w:sz w:val="24"/>
          <w:szCs w:val="24"/>
          <w:highlight w:val="none"/>
        </w:rPr>
        <w:t>磋商小组所有成员应当集中与单一供应商分别进行磋商，并给予所有参加磋商的供应商平等的磋商机会。</w:t>
      </w:r>
    </w:p>
    <w:p w14:paraId="2D4430C4">
      <w:pPr>
        <w:keepNext w:val="0"/>
        <w:keepLines w:val="0"/>
        <w:pageBreakBefore w:val="0"/>
        <w:numPr>
          <w:ilvl w:val="1"/>
          <w:numId w:val="0"/>
        </w:numPr>
        <w:tabs>
          <w:tab w:val="left" w:pos="1080"/>
          <w:tab w:val="left" w:pos="1872"/>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2.2</w:t>
      </w:r>
      <w:r>
        <w:rPr>
          <w:rFonts w:hint="eastAsia" w:ascii="宋体" w:hAnsi="宋体" w:eastAsia="宋体" w:cs="宋体"/>
          <w:color w:val="auto"/>
          <w:sz w:val="24"/>
          <w:szCs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3621609E">
      <w:pPr>
        <w:keepNext w:val="0"/>
        <w:keepLines w:val="0"/>
        <w:pageBreakBefore w:val="0"/>
        <w:numPr>
          <w:ilvl w:val="1"/>
          <w:numId w:val="0"/>
        </w:numPr>
        <w:tabs>
          <w:tab w:val="left" w:pos="1080"/>
          <w:tab w:val="left" w:pos="1872"/>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2.3</w:t>
      </w:r>
      <w:r>
        <w:rPr>
          <w:rFonts w:hint="eastAsia" w:ascii="宋体" w:hAnsi="宋体" w:eastAsia="宋体" w:cs="宋体"/>
          <w:color w:val="auto"/>
          <w:sz w:val="24"/>
          <w:szCs w:val="24"/>
          <w:highlight w:val="none"/>
        </w:rPr>
        <w:t>对磋商文件作出的实质性变动是磋商文件的有效组成部分，磋商小组应当及时通过“苏采云”政府采购一体化平台系统以书面形式同时通知所有参加磋商的供应商。</w:t>
      </w:r>
    </w:p>
    <w:p w14:paraId="367DEDE8">
      <w:pPr>
        <w:keepNext w:val="0"/>
        <w:keepLines w:val="0"/>
        <w:pageBreakBefore w:val="0"/>
        <w:numPr>
          <w:ilvl w:val="1"/>
          <w:numId w:val="0"/>
        </w:numPr>
        <w:tabs>
          <w:tab w:val="left" w:pos="1080"/>
          <w:tab w:val="left" w:pos="1872"/>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2.4</w:t>
      </w:r>
      <w:r>
        <w:rPr>
          <w:rFonts w:hint="eastAsia" w:ascii="宋体" w:hAnsi="宋体" w:eastAsia="宋体" w:cs="宋体"/>
          <w:color w:val="auto"/>
          <w:sz w:val="24"/>
          <w:szCs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29419767">
      <w:pPr>
        <w:keepNext w:val="0"/>
        <w:keepLines w:val="0"/>
        <w:pageBreakBefore w:val="0"/>
        <w:numPr>
          <w:ilvl w:val="1"/>
          <w:numId w:val="0"/>
        </w:numPr>
        <w:tabs>
          <w:tab w:val="left" w:pos="1080"/>
          <w:tab w:val="left" w:pos="1872"/>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2.5</w:t>
      </w:r>
      <w:r>
        <w:rPr>
          <w:rFonts w:hint="eastAsia" w:ascii="宋体" w:hAnsi="宋体" w:eastAsia="宋体" w:cs="宋体"/>
          <w:color w:val="auto"/>
          <w:sz w:val="24"/>
          <w:szCs w:val="24"/>
          <w:highlight w:val="none"/>
        </w:rPr>
        <w:t>响应文件的澄清、说明或者更正：</w:t>
      </w:r>
    </w:p>
    <w:p w14:paraId="7B2777D0">
      <w:pPr>
        <w:keepNext w:val="0"/>
        <w:keepLines w:val="0"/>
        <w:pageBreakBefore w:val="0"/>
        <w:tabs>
          <w:tab w:val="left" w:pos="198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过程中，磋商小组会将通过“苏采云”政府采购一体化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p>
    <w:p w14:paraId="5DA1C10E">
      <w:pPr>
        <w:keepNext w:val="0"/>
        <w:keepLines w:val="0"/>
        <w:pageBreakBefore w:val="0"/>
        <w:numPr>
          <w:ilvl w:val="1"/>
          <w:numId w:val="0"/>
        </w:numPr>
        <w:tabs>
          <w:tab w:val="left" w:pos="1080"/>
          <w:tab w:val="left" w:pos="1872"/>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2.6</w:t>
      </w:r>
      <w:r>
        <w:rPr>
          <w:rFonts w:hint="eastAsia" w:ascii="宋体" w:hAnsi="宋体" w:eastAsia="宋体" w:cs="宋体"/>
          <w:b/>
          <w:color w:val="auto"/>
          <w:sz w:val="24"/>
          <w:szCs w:val="24"/>
          <w:highlight w:val="none"/>
        </w:rPr>
        <w:t>磋商结束后，磋商小组将要求所有实质性响应的供应商在规定时间内通过“苏采云”政府采购一体化平台系统提交最终报价</w:t>
      </w:r>
    </w:p>
    <w:p w14:paraId="789601FD">
      <w:pPr>
        <w:keepNext w:val="0"/>
        <w:keepLines w:val="0"/>
        <w:pageBreakBefore w:val="0"/>
        <w:numPr>
          <w:ilvl w:val="1"/>
          <w:numId w:val="0"/>
        </w:numPr>
        <w:tabs>
          <w:tab w:val="left" w:pos="1080"/>
          <w:tab w:val="left" w:pos="1872"/>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2.7</w:t>
      </w:r>
      <w:r>
        <w:rPr>
          <w:rFonts w:hint="eastAsia" w:ascii="宋体" w:hAnsi="宋体" w:eastAsia="宋体" w:cs="宋体"/>
          <w:color w:val="auto"/>
          <w:sz w:val="24"/>
          <w:szCs w:val="24"/>
          <w:highlight w:val="none"/>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0BA11A6A">
      <w:pPr>
        <w:keepNext w:val="0"/>
        <w:keepLines w:val="0"/>
        <w:pageBreakBefore w:val="0"/>
        <w:numPr>
          <w:ilvl w:val="1"/>
          <w:numId w:val="0"/>
        </w:numPr>
        <w:tabs>
          <w:tab w:val="left" w:pos="1080"/>
          <w:tab w:val="left" w:pos="1872"/>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2.8</w:t>
      </w:r>
      <w:r>
        <w:rPr>
          <w:rFonts w:hint="eastAsia" w:ascii="宋体" w:hAnsi="宋体" w:eastAsia="宋体" w:cs="宋体"/>
          <w:color w:val="auto"/>
          <w:sz w:val="24"/>
          <w:szCs w:val="24"/>
          <w:highlight w:val="none"/>
        </w:rPr>
        <w:t>最终报价是供应商响应文件的有效组成部分。</w:t>
      </w:r>
    </w:p>
    <w:p w14:paraId="2971E1A1">
      <w:pPr>
        <w:keepNext w:val="0"/>
        <w:keepLines w:val="0"/>
        <w:pageBreakBefore w:val="0"/>
        <w:numPr>
          <w:ilvl w:val="1"/>
          <w:numId w:val="0"/>
        </w:numPr>
        <w:tabs>
          <w:tab w:val="left" w:pos="1080"/>
          <w:tab w:val="left" w:pos="1872"/>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2.9</w:t>
      </w:r>
      <w:r>
        <w:rPr>
          <w:rFonts w:hint="eastAsia" w:ascii="宋体" w:hAnsi="宋体" w:eastAsia="宋体" w:cs="宋体"/>
          <w:color w:val="auto"/>
          <w:sz w:val="24"/>
          <w:szCs w:val="24"/>
          <w:highlight w:val="none"/>
        </w:rPr>
        <w:t>已提交响应文件的供应商，在提交最终报价之前，可以根据磋商情况退出磋商。</w:t>
      </w:r>
    </w:p>
    <w:p w14:paraId="172E3359">
      <w:pPr>
        <w:keepNext w:val="0"/>
        <w:keepLines w:val="0"/>
        <w:pageBreakBefore w:val="0"/>
        <w:numPr>
          <w:ilvl w:val="0"/>
          <w:numId w:val="0"/>
        </w:numPr>
        <w:tabs>
          <w:tab w:val="left" w:pos="360"/>
        </w:tabs>
        <w:kinsoku/>
        <w:wordWrap/>
        <w:overflowPunct/>
        <w:topLinePunct w:val="0"/>
        <w:autoSpaceDE/>
        <w:autoSpaceDN/>
        <w:bidi w:val="0"/>
        <w:adjustRightInd/>
        <w:snapToGri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3</w:t>
      </w:r>
      <w:r>
        <w:rPr>
          <w:rFonts w:hint="eastAsia" w:ascii="宋体" w:hAnsi="宋体" w:eastAsia="宋体" w:cs="宋体"/>
          <w:b/>
          <w:bCs/>
          <w:color w:val="auto"/>
          <w:sz w:val="24"/>
          <w:szCs w:val="24"/>
          <w:highlight w:val="none"/>
        </w:rPr>
        <w:t>最终报价的算术修正及政策调整</w:t>
      </w:r>
    </w:p>
    <w:p w14:paraId="10DC2F25">
      <w:pPr>
        <w:keepNext w:val="0"/>
        <w:keepLines w:val="0"/>
        <w:pageBreakBefore w:val="0"/>
        <w:numPr>
          <w:ilvl w:val="1"/>
          <w:numId w:val="0"/>
        </w:numPr>
        <w:tabs>
          <w:tab w:val="left" w:pos="108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3.1</w:t>
      </w:r>
      <w:r>
        <w:rPr>
          <w:rFonts w:hint="eastAsia" w:ascii="宋体" w:hAnsi="宋体" w:eastAsia="宋体" w:cs="宋体"/>
          <w:color w:val="auto"/>
          <w:sz w:val="24"/>
          <w:szCs w:val="24"/>
          <w:highlight w:val="none"/>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auto"/>
          <w:sz w:val="24"/>
          <w:szCs w:val="24"/>
          <w:highlight w:val="none"/>
        </w:rPr>
        <w:t>响应无效</w:t>
      </w:r>
      <w:r>
        <w:rPr>
          <w:rFonts w:hint="eastAsia" w:ascii="宋体" w:hAnsi="宋体" w:eastAsia="宋体" w:cs="宋体"/>
          <w:color w:val="auto"/>
          <w:sz w:val="24"/>
          <w:szCs w:val="24"/>
          <w:highlight w:val="none"/>
        </w:rPr>
        <w:t>。</w:t>
      </w:r>
    </w:p>
    <w:p w14:paraId="1381CD66">
      <w:pPr>
        <w:keepNext w:val="0"/>
        <w:keepLines w:val="0"/>
        <w:pageBreakBefore w:val="0"/>
        <w:numPr>
          <w:ilvl w:val="1"/>
          <w:numId w:val="0"/>
        </w:numPr>
        <w:tabs>
          <w:tab w:val="left" w:pos="1080"/>
          <w:tab w:val="left" w:pos="1872"/>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3.2</w:t>
      </w:r>
      <w:r>
        <w:rPr>
          <w:rFonts w:hint="eastAsia" w:ascii="宋体" w:hAnsi="宋体" w:eastAsia="宋体" w:cs="宋体"/>
          <w:color w:val="auto"/>
          <w:sz w:val="24"/>
          <w:szCs w:val="24"/>
          <w:highlight w:val="none"/>
        </w:rPr>
        <w:t>最终报价出现前后不一致的，按照下列规定修正：</w:t>
      </w:r>
    </w:p>
    <w:p w14:paraId="77A1E2B2">
      <w:pPr>
        <w:keepNext w:val="0"/>
        <w:keepLines w:val="0"/>
        <w:pageBreakBefore w:val="0"/>
        <w:numPr>
          <w:ilvl w:val="2"/>
          <w:numId w:val="0"/>
        </w:numPr>
        <w:tabs>
          <w:tab w:val="left" w:pos="1080"/>
          <w:tab w:val="left" w:pos="1589"/>
          <w:tab w:val="left" w:pos="2035"/>
          <w:tab w:val="left" w:pos="2114"/>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3.2.1</w:t>
      </w:r>
      <w:r>
        <w:rPr>
          <w:rFonts w:hint="eastAsia" w:ascii="宋体" w:hAnsi="宋体" w:eastAsia="宋体" w:cs="宋体"/>
          <w:color w:val="auto"/>
          <w:sz w:val="24"/>
          <w:szCs w:val="24"/>
          <w:highlight w:val="none"/>
        </w:rPr>
        <w:t>竞争性磋商文件对于报价修正是否另有规定：</w:t>
      </w:r>
    </w:p>
    <w:p w14:paraId="3E48485E">
      <w:pPr>
        <w:keepNext w:val="0"/>
        <w:keepLines w:val="0"/>
        <w:pageBreakBefore w:val="0"/>
        <w:tabs>
          <w:tab w:val="left" w:pos="1080"/>
          <w:tab w:val="left" w:pos="1589"/>
          <w:tab w:val="left" w:pos="2035"/>
          <w:tab w:val="left" w:pos="2114"/>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□有，具体规定为：___________</w:t>
      </w:r>
    </w:p>
    <w:p w14:paraId="6117A41A">
      <w:pPr>
        <w:keepNext w:val="0"/>
        <w:keepLines w:val="0"/>
        <w:pageBreakBefore w:val="0"/>
        <w:tabs>
          <w:tab w:val="left" w:pos="1080"/>
          <w:tab w:val="left" w:pos="1589"/>
          <w:tab w:val="left" w:pos="2035"/>
          <w:tab w:val="left" w:pos="2114"/>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■无，按下述3.2.2-3.2.5项规定修正。</w:t>
      </w:r>
    </w:p>
    <w:p w14:paraId="7847917C">
      <w:pPr>
        <w:keepNext w:val="0"/>
        <w:keepLines w:val="0"/>
        <w:pageBreakBefore w:val="0"/>
        <w:numPr>
          <w:ilvl w:val="2"/>
          <w:numId w:val="0"/>
        </w:numPr>
        <w:tabs>
          <w:tab w:val="left" w:pos="2035"/>
          <w:tab w:val="left" w:pos="2114"/>
          <w:tab w:val="left" w:pos="2977"/>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3.2.2</w:t>
      </w:r>
      <w:r>
        <w:rPr>
          <w:rFonts w:hint="eastAsia" w:ascii="宋体" w:hAnsi="宋体" w:eastAsia="宋体" w:cs="宋体"/>
          <w:color w:val="auto"/>
          <w:sz w:val="24"/>
          <w:szCs w:val="24"/>
          <w:highlight w:val="none"/>
        </w:rPr>
        <w:t>大写金额和小写金额不一致的，以大写金额为准；</w:t>
      </w:r>
    </w:p>
    <w:p w14:paraId="6A8857DA">
      <w:pPr>
        <w:keepNext w:val="0"/>
        <w:keepLines w:val="0"/>
        <w:pageBreakBefore w:val="0"/>
        <w:numPr>
          <w:ilvl w:val="2"/>
          <w:numId w:val="0"/>
        </w:numPr>
        <w:tabs>
          <w:tab w:val="left" w:pos="2035"/>
          <w:tab w:val="left" w:pos="2114"/>
          <w:tab w:val="left" w:pos="2977"/>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3.2.3</w:t>
      </w:r>
      <w:r>
        <w:rPr>
          <w:rFonts w:hint="eastAsia" w:ascii="宋体" w:hAnsi="宋体" w:eastAsia="宋体" w:cs="宋体"/>
          <w:color w:val="auto"/>
          <w:sz w:val="24"/>
          <w:szCs w:val="24"/>
          <w:highlight w:val="none"/>
        </w:rPr>
        <w:t>单价金额小数点或者百分比有明显错位的，以最终报价一览表的总价为准，并修改单价；</w:t>
      </w:r>
    </w:p>
    <w:p w14:paraId="0038B16F">
      <w:pPr>
        <w:keepNext w:val="0"/>
        <w:keepLines w:val="0"/>
        <w:pageBreakBefore w:val="0"/>
        <w:numPr>
          <w:ilvl w:val="2"/>
          <w:numId w:val="0"/>
        </w:numPr>
        <w:tabs>
          <w:tab w:val="left" w:pos="2035"/>
          <w:tab w:val="left" w:pos="2114"/>
          <w:tab w:val="left" w:pos="2977"/>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3.2.4</w:t>
      </w:r>
      <w:r>
        <w:rPr>
          <w:rFonts w:hint="eastAsia" w:ascii="宋体" w:hAnsi="宋体" w:eastAsia="宋体" w:cs="宋体"/>
          <w:color w:val="auto"/>
          <w:sz w:val="24"/>
          <w:szCs w:val="24"/>
          <w:highlight w:val="none"/>
        </w:rPr>
        <w:t>总价金额与按单价汇总金额不一致的，以单价金额计算结果为准。</w:t>
      </w:r>
    </w:p>
    <w:p w14:paraId="546722FD">
      <w:pPr>
        <w:keepNext w:val="0"/>
        <w:keepLines w:val="0"/>
        <w:pageBreakBefore w:val="0"/>
        <w:numPr>
          <w:ilvl w:val="2"/>
          <w:numId w:val="0"/>
        </w:numPr>
        <w:tabs>
          <w:tab w:val="left" w:pos="1080"/>
          <w:tab w:val="left" w:pos="1589"/>
          <w:tab w:val="left" w:pos="2035"/>
          <w:tab w:val="left" w:pos="2114"/>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3.2.5</w:t>
      </w:r>
      <w:r>
        <w:rPr>
          <w:rFonts w:hint="eastAsia" w:ascii="宋体" w:hAnsi="宋体" w:eastAsia="宋体" w:cs="宋体"/>
          <w:color w:val="auto"/>
          <w:sz w:val="24"/>
          <w:szCs w:val="24"/>
          <w:highlight w:val="none"/>
        </w:rPr>
        <w:t>同时出现两种以上不一致的，按照前款规定的顺序修正。修正后的报价经供应商书面确认后产生约束力，供应商不确认的，</w:t>
      </w:r>
      <w:r>
        <w:rPr>
          <w:rFonts w:hint="eastAsia" w:ascii="宋体" w:hAnsi="宋体" w:eastAsia="宋体" w:cs="宋体"/>
          <w:b/>
          <w:color w:val="auto"/>
          <w:sz w:val="24"/>
          <w:szCs w:val="24"/>
          <w:highlight w:val="none"/>
        </w:rPr>
        <w:t>其响应无效</w:t>
      </w:r>
      <w:r>
        <w:rPr>
          <w:rFonts w:hint="eastAsia" w:ascii="宋体" w:hAnsi="宋体" w:eastAsia="宋体" w:cs="宋体"/>
          <w:color w:val="auto"/>
          <w:sz w:val="24"/>
          <w:szCs w:val="24"/>
          <w:highlight w:val="none"/>
        </w:rPr>
        <w:t>。</w:t>
      </w:r>
    </w:p>
    <w:p w14:paraId="5C575C0A">
      <w:pPr>
        <w:keepNext w:val="0"/>
        <w:keepLines w:val="0"/>
        <w:pageBreakBefore w:val="0"/>
        <w:numPr>
          <w:ilvl w:val="1"/>
          <w:numId w:val="0"/>
        </w:numPr>
        <w:tabs>
          <w:tab w:val="left" w:pos="1080"/>
          <w:tab w:val="left" w:pos="1872"/>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3.3</w:t>
      </w:r>
      <w:r>
        <w:rPr>
          <w:rFonts w:hint="eastAsia" w:ascii="宋体" w:hAnsi="宋体" w:eastAsia="宋体" w:cs="宋体"/>
          <w:color w:val="auto"/>
          <w:sz w:val="24"/>
          <w:szCs w:val="24"/>
          <w:highlight w:val="none"/>
        </w:rPr>
        <w:t>落实政府采购政策的价格调整：只有符合第二章《供应商须知》4.2条规定情形的，可以享受中小企业扶持政策，用扣除后的价格参加评审；否则，评审时价格不予扣除。</w:t>
      </w:r>
    </w:p>
    <w:p w14:paraId="2033A2B6">
      <w:pPr>
        <w:keepNext w:val="0"/>
        <w:keepLines w:val="0"/>
        <w:pageBreakBefore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3.3.1</w:t>
      </w:r>
      <w:r>
        <w:rPr>
          <w:rFonts w:hint="eastAsia" w:ascii="宋体" w:hAnsi="宋体" w:eastAsia="宋体" w:cs="宋体"/>
          <w:color w:val="auto"/>
          <w:sz w:val="24"/>
          <w:szCs w:val="24"/>
          <w:highlight w:val="none"/>
        </w:rPr>
        <w:t>对于未预留份额专门面向中小企业采购的采购项目，以及预留份额项目中的非预留部分采购包，对</w:t>
      </w:r>
      <w:r>
        <w:rPr>
          <w:rFonts w:hint="eastAsia" w:ascii="宋体" w:hAnsi="宋体" w:eastAsia="宋体" w:cs="宋体"/>
          <w:b/>
          <w:color w:val="auto"/>
          <w:sz w:val="24"/>
          <w:szCs w:val="24"/>
          <w:highlight w:val="none"/>
        </w:rPr>
        <w:t>小微企业</w:t>
      </w:r>
      <w:r>
        <w:rPr>
          <w:rFonts w:hint="eastAsia" w:ascii="宋体" w:hAnsi="宋体" w:eastAsia="宋体" w:cs="宋体"/>
          <w:color w:val="auto"/>
          <w:sz w:val="24"/>
          <w:szCs w:val="24"/>
          <w:highlight w:val="none"/>
        </w:rPr>
        <w:t>报价给予</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0%的扣除，用扣除后的价格参加评审。</w:t>
      </w:r>
    </w:p>
    <w:p w14:paraId="2DB34A2C">
      <w:pPr>
        <w:keepNext w:val="0"/>
        <w:keepLines w:val="0"/>
        <w:pageBreakBefore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3.3.2</w:t>
      </w:r>
      <w:r>
        <w:rPr>
          <w:rFonts w:hint="eastAsia" w:ascii="宋体" w:hAnsi="宋体" w:eastAsia="宋体" w:cs="宋体"/>
          <w:color w:val="auto"/>
          <w:sz w:val="24"/>
          <w:szCs w:val="24"/>
          <w:highlight w:val="none"/>
        </w:rPr>
        <w:t>对于未预留份额专门面向中小企业采购的采购项目，以及预留份额项目中的非预留部分采购包，且接受大中型企业与</w:t>
      </w:r>
      <w:r>
        <w:rPr>
          <w:rFonts w:hint="eastAsia" w:ascii="宋体" w:hAnsi="宋体" w:eastAsia="宋体" w:cs="宋体"/>
          <w:b/>
          <w:color w:val="auto"/>
          <w:sz w:val="24"/>
          <w:szCs w:val="24"/>
          <w:highlight w:val="none"/>
        </w:rPr>
        <w:t>小微企业</w:t>
      </w:r>
      <w:r>
        <w:rPr>
          <w:rFonts w:hint="eastAsia" w:ascii="宋体" w:hAnsi="宋体" w:eastAsia="宋体" w:cs="宋体"/>
          <w:color w:val="auto"/>
          <w:sz w:val="24"/>
          <w:szCs w:val="24"/>
          <w:highlight w:val="none"/>
        </w:rPr>
        <w:t>组成联合体或者允许大中型企业向一家或者多家</w:t>
      </w:r>
      <w:r>
        <w:rPr>
          <w:rFonts w:hint="eastAsia" w:ascii="宋体" w:hAnsi="宋体" w:eastAsia="宋体" w:cs="宋体"/>
          <w:b/>
          <w:color w:val="auto"/>
          <w:sz w:val="24"/>
          <w:szCs w:val="24"/>
          <w:highlight w:val="none"/>
        </w:rPr>
        <w:t>小微企业</w:t>
      </w:r>
      <w:r>
        <w:rPr>
          <w:rFonts w:hint="eastAsia" w:ascii="宋体" w:hAnsi="宋体" w:eastAsia="宋体" w:cs="宋体"/>
          <w:color w:val="auto"/>
          <w:sz w:val="24"/>
          <w:szCs w:val="24"/>
          <w:highlight w:val="none"/>
        </w:rPr>
        <w:t>分包的采购项目，对于联合协议或者分包意向协议约定</w:t>
      </w:r>
      <w:r>
        <w:rPr>
          <w:rFonts w:hint="eastAsia" w:ascii="宋体" w:hAnsi="宋体" w:eastAsia="宋体" w:cs="宋体"/>
          <w:b/>
          <w:color w:val="auto"/>
          <w:sz w:val="24"/>
          <w:szCs w:val="24"/>
          <w:highlight w:val="none"/>
        </w:rPr>
        <w:t>小微企业</w:t>
      </w:r>
      <w:r>
        <w:rPr>
          <w:rFonts w:hint="eastAsia" w:ascii="宋体" w:hAnsi="宋体" w:eastAsia="宋体" w:cs="宋体"/>
          <w:color w:val="auto"/>
          <w:sz w:val="24"/>
          <w:szCs w:val="24"/>
          <w:highlight w:val="none"/>
        </w:rPr>
        <w:t>的合同份额占到合同总金额 30%以上的联合体或者大中型企业的报价给予3%的扣除，用扣除后的价格参加评审。</w:t>
      </w:r>
    </w:p>
    <w:p w14:paraId="4D05CB32">
      <w:pPr>
        <w:keepNext w:val="0"/>
        <w:keepLines w:val="0"/>
        <w:pageBreakBefore w:val="0"/>
        <w:numPr>
          <w:ilvl w:val="2"/>
          <w:numId w:val="0"/>
        </w:numPr>
        <w:tabs>
          <w:tab w:val="left" w:pos="1080"/>
          <w:tab w:val="left" w:pos="1589"/>
          <w:tab w:val="left" w:pos="203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3.3.3</w:t>
      </w:r>
      <w:r>
        <w:rPr>
          <w:rFonts w:hint="eastAsia" w:ascii="宋体" w:hAnsi="宋体" w:eastAsia="宋体" w:cs="宋体"/>
          <w:color w:val="auto"/>
          <w:sz w:val="24"/>
          <w:szCs w:val="24"/>
          <w:highlight w:val="none"/>
        </w:rPr>
        <w:t>组成联合体或者接受分包的小微企业与联合体内其他企业、分包企业之间存在直接控股、管理关系的，不享受价格扣除优惠政策。</w:t>
      </w:r>
    </w:p>
    <w:p w14:paraId="06F5B73C">
      <w:pPr>
        <w:keepNext w:val="0"/>
        <w:keepLines w:val="0"/>
        <w:pageBreakBefore w:val="0"/>
        <w:numPr>
          <w:ilvl w:val="2"/>
          <w:numId w:val="0"/>
        </w:numPr>
        <w:tabs>
          <w:tab w:val="left" w:pos="1080"/>
          <w:tab w:val="left" w:pos="1589"/>
          <w:tab w:val="left" w:pos="203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3.3.4</w:t>
      </w:r>
      <w:r>
        <w:rPr>
          <w:rFonts w:hint="eastAsia" w:ascii="宋体" w:hAnsi="宋体" w:eastAsia="宋体" w:cs="宋体"/>
          <w:color w:val="auto"/>
          <w:sz w:val="24"/>
          <w:szCs w:val="24"/>
          <w:highlight w:val="none"/>
        </w:rPr>
        <w:t>价格扣除比例对小型企业和微型企业同等对待，不作区分。</w:t>
      </w:r>
    </w:p>
    <w:p w14:paraId="49F55F44">
      <w:pPr>
        <w:keepNext w:val="0"/>
        <w:keepLines w:val="0"/>
        <w:pageBreakBefore w:val="0"/>
        <w:numPr>
          <w:ilvl w:val="2"/>
          <w:numId w:val="0"/>
        </w:numPr>
        <w:tabs>
          <w:tab w:val="left" w:pos="1080"/>
          <w:tab w:val="left" w:pos="1589"/>
          <w:tab w:val="left" w:pos="203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3.3.5</w:t>
      </w:r>
      <w:r>
        <w:rPr>
          <w:rFonts w:hint="eastAsia" w:ascii="宋体" w:hAnsi="宋体" w:eastAsia="宋体" w:cs="宋体"/>
          <w:color w:val="auto"/>
          <w:sz w:val="24"/>
          <w:szCs w:val="24"/>
          <w:highlight w:val="none"/>
        </w:rPr>
        <w:t>中小企业参加政府采购活动，应当按照竞争性磋商文件给定的格式出具《中小企业声明函》，否则不得享受相关中小企业扶持政策。</w:t>
      </w:r>
    </w:p>
    <w:p w14:paraId="0938AFA5">
      <w:pPr>
        <w:keepNext w:val="0"/>
        <w:keepLines w:val="0"/>
        <w:pageBreakBefore w:val="0"/>
        <w:numPr>
          <w:ilvl w:val="2"/>
          <w:numId w:val="0"/>
        </w:numPr>
        <w:tabs>
          <w:tab w:val="left" w:pos="1080"/>
          <w:tab w:val="left" w:pos="1589"/>
          <w:tab w:val="left" w:pos="203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3.3.6</w:t>
      </w:r>
      <w:r>
        <w:rPr>
          <w:rFonts w:hint="eastAsia" w:ascii="宋体" w:hAnsi="宋体" w:eastAsia="宋体" w:cs="宋体"/>
          <w:color w:val="auto"/>
          <w:sz w:val="24"/>
          <w:szCs w:val="24"/>
          <w:highlight w:val="none"/>
        </w:rPr>
        <w:t>监狱企业提供了由省级以上监狱管理局（常州市含教育矫治局）、戒毒管理局（含新疆生产建设兵团）出具的属于监狱企业的证明文件的，视同小微企业。</w:t>
      </w:r>
    </w:p>
    <w:p w14:paraId="1C285BB8">
      <w:pPr>
        <w:keepNext w:val="0"/>
        <w:keepLines w:val="0"/>
        <w:pageBreakBefore w:val="0"/>
        <w:numPr>
          <w:ilvl w:val="2"/>
          <w:numId w:val="0"/>
        </w:numPr>
        <w:tabs>
          <w:tab w:val="left" w:pos="1080"/>
          <w:tab w:val="left" w:pos="1589"/>
          <w:tab w:val="left" w:pos="203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3.3.7</w:t>
      </w:r>
      <w:r>
        <w:rPr>
          <w:rFonts w:hint="eastAsia" w:ascii="宋体" w:hAnsi="宋体" w:eastAsia="宋体" w:cs="宋体"/>
          <w:color w:val="auto"/>
          <w:sz w:val="24"/>
          <w:szCs w:val="24"/>
          <w:highlight w:val="none"/>
        </w:rPr>
        <w:t>残疾人福利性单位按竞争性磋商文件要求提供了《残疾人福利性单位声明函》（见附件）的，视同小微企业。</w:t>
      </w:r>
    </w:p>
    <w:p w14:paraId="6DCBFE60">
      <w:pPr>
        <w:keepNext w:val="0"/>
        <w:keepLines w:val="0"/>
        <w:pageBreakBefore w:val="0"/>
        <w:numPr>
          <w:ilvl w:val="2"/>
          <w:numId w:val="0"/>
        </w:numPr>
        <w:tabs>
          <w:tab w:val="left" w:pos="1080"/>
          <w:tab w:val="left" w:pos="1589"/>
          <w:tab w:val="left" w:pos="2014"/>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3.3.8</w:t>
      </w:r>
      <w:r>
        <w:rPr>
          <w:rFonts w:hint="eastAsia" w:ascii="宋体" w:hAnsi="宋体" w:eastAsia="宋体" w:cs="宋体"/>
          <w:color w:val="auto"/>
          <w:sz w:val="24"/>
          <w:szCs w:val="24"/>
          <w:highlight w:val="none"/>
        </w:rPr>
        <w:t>若供应商同时属于小型或微型企业、监狱企业、残疾人福利性单位中的两种及以上，将不重复享受小微企业价格扣减的优惠政策。</w:t>
      </w:r>
    </w:p>
    <w:p w14:paraId="22FA1314">
      <w:pPr>
        <w:keepNext w:val="0"/>
        <w:keepLines w:val="0"/>
        <w:pageBreakBefore w:val="0"/>
        <w:numPr>
          <w:ilvl w:val="2"/>
          <w:numId w:val="0"/>
        </w:numPr>
        <w:tabs>
          <w:tab w:val="left" w:pos="1080"/>
          <w:tab w:val="left" w:pos="1589"/>
          <w:tab w:val="left" w:pos="2014"/>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3.3.9</w:t>
      </w:r>
      <w:r>
        <w:rPr>
          <w:rFonts w:hint="eastAsia" w:ascii="宋体" w:hAnsi="宋体" w:eastAsia="宋体" w:cs="宋体"/>
          <w:color w:val="auto"/>
          <w:sz w:val="24"/>
          <w:szCs w:val="24"/>
          <w:highlight w:val="none"/>
        </w:rPr>
        <w:t>其他为落实政府采购政策实施的优先采购：______。</w:t>
      </w:r>
    </w:p>
    <w:p w14:paraId="02C082A4">
      <w:pPr>
        <w:keepNext w:val="0"/>
        <w:keepLines w:val="0"/>
        <w:pageBreakBefore w:val="0"/>
        <w:numPr>
          <w:ilvl w:val="0"/>
          <w:numId w:val="0"/>
        </w:numPr>
        <w:tabs>
          <w:tab w:val="left" w:pos="360"/>
        </w:tabs>
        <w:kinsoku/>
        <w:wordWrap/>
        <w:overflowPunct/>
        <w:topLinePunct w:val="0"/>
        <w:autoSpaceDE/>
        <w:autoSpaceDN/>
        <w:bidi w:val="0"/>
        <w:adjustRightInd/>
        <w:snapToGrid/>
        <w:spacing w:line="360" w:lineRule="auto"/>
        <w:ind w:left="0" w:leftChars="0" w:firstLine="482" w:firstLineChars="200"/>
        <w:textAlignment w:val="auto"/>
        <w:outlineLvl w:val="1"/>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4</w:t>
      </w:r>
      <w:r>
        <w:rPr>
          <w:rFonts w:hint="eastAsia" w:ascii="宋体" w:hAnsi="宋体" w:eastAsia="宋体" w:cs="宋体"/>
          <w:b/>
          <w:bCs/>
          <w:color w:val="auto"/>
          <w:sz w:val="24"/>
          <w:szCs w:val="24"/>
          <w:highlight w:val="none"/>
        </w:rPr>
        <w:t>磋商环节及提交最终报价后如出现以下情况的，供应商的响应文件无效</w:t>
      </w:r>
      <w:r>
        <w:rPr>
          <w:rFonts w:hint="eastAsia" w:ascii="宋体" w:hAnsi="宋体" w:eastAsia="宋体" w:cs="宋体"/>
          <w:color w:val="auto"/>
          <w:sz w:val="24"/>
          <w:szCs w:val="24"/>
          <w:highlight w:val="none"/>
        </w:rPr>
        <w:t>：</w:t>
      </w:r>
    </w:p>
    <w:p w14:paraId="4B7446C7">
      <w:pPr>
        <w:keepNext w:val="0"/>
        <w:keepLines w:val="0"/>
        <w:pageBreakBefore w:val="0"/>
        <w:numPr>
          <w:ilvl w:val="1"/>
          <w:numId w:val="0"/>
        </w:numPr>
        <w:tabs>
          <w:tab w:val="left" w:pos="108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4.1</w:t>
      </w:r>
      <w:r>
        <w:rPr>
          <w:rFonts w:hint="eastAsia" w:ascii="宋体" w:hAnsi="宋体" w:eastAsia="宋体" w:cs="宋体"/>
          <w:color w:val="auto"/>
          <w:sz w:val="24"/>
          <w:szCs w:val="24"/>
          <w:highlight w:val="none"/>
        </w:rPr>
        <w:t>供应商对实质性变动不予确认的；</w:t>
      </w:r>
    </w:p>
    <w:p w14:paraId="68C32B75">
      <w:pPr>
        <w:keepNext w:val="0"/>
        <w:keepLines w:val="0"/>
        <w:pageBreakBefore w:val="0"/>
        <w:numPr>
          <w:ilvl w:val="1"/>
          <w:numId w:val="0"/>
        </w:numPr>
        <w:tabs>
          <w:tab w:val="left" w:pos="108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4.2</w:t>
      </w:r>
      <w:r>
        <w:rPr>
          <w:rFonts w:hint="eastAsia" w:ascii="宋体" w:hAnsi="宋体" w:eastAsia="宋体" w:cs="宋体"/>
          <w:color w:val="auto"/>
          <w:sz w:val="24"/>
          <w:szCs w:val="24"/>
          <w:highlight w:val="none"/>
        </w:rPr>
        <w:t>不满足磋商文件★号条款或磋商文件技术指标超出磋商文件《采购需求》中主要技术参数允许偏差的最大范围的（如有）；</w:t>
      </w:r>
    </w:p>
    <w:p w14:paraId="340D1068">
      <w:pPr>
        <w:keepNext w:val="0"/>
        <w:keepLines w:val="0"/>
        <w:pageBreakBefore w:val="0"/>
        <w:numPr>
          <w:ilvl w:val="1"/>
          <w:numId w:val="0"/>
        </w:numPr>
        <w:tabs>
          <w:tab w:val="left" w:pos="108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4.3</w:t>
      </w:r>
      <w:r>
        <w:rPr>
          <w:rFonts w:hint="eastAsia" w:ascii="宋体" w:hAnsi="宋体" w:eastAsia="宋体" w:cs="宋体"/>
          <w:color w:val="auto"/>
          <w:sz w:val="24"/>
          <w:szCs w:val="24"/>
          <w:highlight w:val="none"/>
        </w:rPr>
        <w:t>未按照磋商小组规定的时间、逾期提交最终报价的；</w:t>
      </w:r>
    </w:p>
    <w:p w14:paraId="55F0FD0B">
      <w:pPr>
        <w:keepNext w:val="0"/>
        <w:keepLines w:val="0"/>
        <w:pageBreakBefore w:val="0"/>
        <w:numPr>
          <w:ilvl w:val="1"/>
          <w:numId w:val="0"/>
        </w:numPr>
        <w:tabs>
          <w:tab w:val="left" w:pos="108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4.4</w:t>
      </w:r>
      <w:r>
        <w:rPr>
          <w:rFonts w:hint="eastAsia" w:ascii="宋体" w:hAnsi="宋体" w:eastAsia="宋体" w:cs="宋体"/>
          <w:color w:val="auto"/>
          <w:sz w:val="24"/>
          <w:szCs w:val="24"/>
          <w:highlight w:val="none"/>
        </w:rPr>
        <w:t>如供应商的最终报价超过竞争性磋商文件中规定的项目/采购包预算金额或者项目/采购包最高限价的；</w:t>
      </w:r>
    </w:p>
    <w:p w14:paraId="11AC34F4">
      <w:pPr>
        <w:keepNext w:val="0"/>
        <w:keepLines w:val="0"/>
        <w:pageBreakBefore w:val="0"/>
        <w:numPr>
          <w:ilvl w:val="1"/>
          <w:numId w:val="0"/>
        </w:numPr>
        <w:tabs>
          <w:tab w:val="left" w:pos="108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4.5</w:t>
      </w:r>
      <w:r>
        <w:rPr>
          <w:rFonts w:hint="eastAsia" w:ascii="宋体" w:hAnsi="宋体" w:eastAsia="宋体" w:cs="宋体"/>
          <w:color w:val="auto"/>
          <w:sz w:val="24"/>
          <w:szCs w:val="24"/>
          <w:highlight w:val="none"/>
        </w:rPr>
        <w:t>响应文件中出现可选择性或可调整的报价的（竞争性磋商文件另有规定的除外）；</w:t>
      </w:r>
    </w:p>
    <w:p w14:paraId="5F3FD4EE">
      <w:pPr>
        <w:keepNext w:val="0"/>
        <w:keepLines w:val="0"/>
        <w:pageBreakBefore w:val="0"/>
        <w:numPr>
          <w:ilvl w:val="1"/>
          <w:numId w:val="0"/>
        </w:numPr>
        <w:tabs>
          <w:tab w:val="left" w:pos="108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4.6</w:t>
      </w:r>
      <w:r>
        <w:rPr>
          <w:rFonts w:hint="eastAsia" w:ascii="宋体" w:hAnsi="宋体" w:eastAsia="宋体" w:cs="宋体"/>
          <w:color w:val="auto"/>
          <w:sz w:val="24"/>
          <w:szCs w:val="24"/>
          <w:highlight w:val="none"/>
        </w:rPr>
        <w:t>最终报价出现前后不一致，供应商对修正后的报价不予确认的；</w:t>
      </w:r>
    </w:p>
    <w:p w14:paraId="6FF7D5E4">
      <w:pPr>
        <w:keepNext w:val="0"/>
        <w:keepLines w:val="0"/>
        <w:pageBreakBefore w:val="0"/>
        <w:numPr>
          <w:ilvl w:val="1"/>
          <w:numId w:val="0"/>
        </w:numPr>
        <w:tabs>
          <w:tab w:val="left" w:pos="108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szCs w:val="24"/>
          <w:highlight w:val="none"/>
          <w:lang w:val="en-US" w:eastAsia="zh-CN" w:bidi="ar-SA"/>
        </w:rPr>
        <w:t>4.7</w:t>
      </w:r>
      <w:r>
        <w:rPr>
          <w:rFonts w:hint="eastAsia" w:ascii="宋体" w:hAnsi="宋体" w:eastAsia="宋体" w:cs="宋体"/>
          <w:color w:val="auto"/>
          <w:sz w:val="24"/>
          <w:szCs w:val="24"/>
          <w:highlight w:val="none"/>
        </w:rPr>
        <w:t>其他</w:t>
      </w:r>
      <w:r>
        <w:rPr>
          <w:rFonts w:hint="eastAsia" w:ascii="宋体" w:hAnsi="宋体" w:cs="宋体"/>
          <w:color w:val="auto"/>
          <w:sz w:val="24"/>
          <w:szCs w:val="24"/>
          <w:highlight w:val="none"/>
          <w:lang w:eastAsia="zh-CN"/>
        </w:rPr>
        <w:t>：</w:t>
      </w:r>
      <w:r>
        <w:rPr>
          <w:rFonts w:hint="eastAsia" w:ascii="宋体" w:hAnsi="宋体" w:eastAsia="宋体" w:cs="宋体"/>
          <w:b w:val="0"/>
          <w:bCs w:val="0"/>
          <w:color w:val="auto"/>
          <w:sz w:val="24"/>
          <w:szCs w:val="24"/>
          <w:highlight w:val="none"/>
        </w:rPr>
        <w:t>评审过程中出现下列情形之一的，评审委员会应当启动异常低价投标（响应）审查程序：</w:t>
      </w:r>
    </w:p>
    <w:p w14:paraId="0A30BCFE">
      <w:pPr>
        <w:keepNext w:val="0"/>
        <w:keepLines w:val="0"/>
        <w:pageBreakBefore w:val="0"/>
        <w:numPr>
          <w:ilvl w:val="1"/>
          <w:numId w:val="0"/>
        </w:numPr>
        <w:tabs>
          <w:tab w:val="left" w:pos="108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 投标（响应）报价低于采购项目预算50%的，即投标（响应）报价&lt;采购项目预算×50%；</w:t>
      </w:r>
    </w:p>
    <w:p w14:paraId="384E4F86">
      <w:pPr>
        <w:keepNext w:val="0"/>
        <w:keepLines w:val="0"/>
        <w:pageBreakBefore w:val="0"/>
        <w:numPr>
          <w:ilvl w:val="1"/>
          <w:numId w:val="0"/>
        </w:numPr>
        <w:tabs>
          <w:tab w:val="left" w:pos="108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 投标（响应）报价低于采购项目最高限价45% 的，即投标（响应）报价&lt;采购项目最高限价×45%；</w:t>
      </w:r>
    </w:p>
    <w:p w14:paraId="545A30AF">
      <w:pPr>
        <w:keepNext w:val="0"/>
        <w:keepLines w:val="0"/>
        <w:pageBreakBefore w:val="0"/>
        <w:numPr>
          <w:ilvl w:val="1"/>
          <w:numId w:val="0"/>
        </w:numPr>
        <w:tabs>
          <w:tab w:val="left" w:pos="108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③ 评审委员会认定的供应商报价过低、有可能影响产品质量或者不能诚信履约的其他情形。</w:t>
      </w:r>
    </w:p>
    <w:p w14:paraId="72837FA5">
      <w:pPr>
        <w:keepNext w:val="0"/>
        <w:keepLines w:val="0"/>
        <w:pageBreakBefore w:val="0"/>
        <w:numPr>
          <w:ilvl w:val="1"/>
          <w:numId w:val="0"/>
        </w:numPr>
        <w:tabs>
          <w:tab w:val="left" w:pos="108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bookmarkEnd w:id="627"/>
    <w:bookmarkEnd w:id="628"/>
    <w:p w14:paraId="5B769F3A">
      <w:pPr>
        <w:keepNext w:val="0"/>
        <w:keepLines w:val="0"/>
        <w:pageBreakBefore w:val="0"/>
        <w:numPr>
          <w:ilvl w:val="0"/>
          <w:numId w:val="0"/>
        </w:numPr>
        <w:tabs>
          <w:tab w:val="left" w:pos="360"/>
        </w:tabs>
        <w:kinsoku/>
        <w:wordWrap/>
        <w:overflowPunct/>
        <w:topLinePunct w:val="0"/>
        <w:autoSpaceDE/>
        <w:autoSpaceDN/>
        <w:bidi w:val="0"/>
        <w:adjustRightInd/>
        <w:snapToGri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5</w:t>
      </w:r>
      <w:r>
        <w:rPr>
          <w:rFonts w:hint="eastAsia" w:ascii="宋体" w:hAnsi="宋体" w:eastAsia="宋体" w:cs="宋体"/>
          <w:b/>
          <w:bCs/>
          <w:color w:val="auto"/>
          <w:sz w:val="24"/>
          <w:szCs w:val="24"/>
          <w:highlight w:val="none"/>
        </w:rPr>
        <w:t>评审方法和评审标准</w:t>
      </w:r>
    </w:p>
    <w:p w14:paraId="4AD5553F">
      <w:pPr>
        <w:keepNext w:val="0"/>
        <w:keepLines w:val="0"/>
        <w:pageBreakBefore w:val="0"/>
        <w:numPr>
          <w:ilvl w:val="1"/>
          <w:numId w:val="0"/>
        </w:numPr>
        <w:tabs>
          <w:tab w:val="left" w:pos="1080"/>
          <w:tab w:val="left" w:pos="1872"/>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5.1</w:t>
      </w:r>
      <w:r>
        <w:rPr>
          <w:rFonts w:hint="eastAsia" w:ascii="宋体" w:hAnsi="宋体" w:eastAsia="宋体" w:cs="宋体"/>
          <w:color w:val="auto"/>
          <w:sz w:val="24"/>
          <w:szCs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6145012C">
      <w:pPr>
        <w:keepNext w:val="0"/>
        <w:keepLines w:val="0"/>
        <w:pageBreakBefore w:val="0"/>
        <w:numPr>
          <w:ilvl w:val="1"/>
          <w:numId w:val="0"/>
        </w:numPr>
        <w:tabs>
          <w:tab w:val="left" w:pos="1080"/>
          <w:tab w:val="left" w:pos="1872"/>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5.2</w:t>
      </w:r>
      <w:r>
        <w:rPr>
          <w:rFonts w:hint="eastAsia" w:ascii="宋体" w:hAnsi="宋体" w:eastAsia="宋体" w:cs="宋体"/>
          <w:color w:val="auto"/>
          <w:sz w:val="24"/>
          <w:szCs w:val="24"/>
          <w:highlight w:val="none"/>
        </w:rPr>
        <w:t>竞争性磋商文件中没有规定的评审标准不得作为评审依据。</w:t>
      </w:r>
    </w:p>
    <w:p w14:paraId="41C07F26">
      <w:pPr>
        <w:keepNext w:val="0"/>
        <w:keepLines w:val="0"/>
        <w:pageBreakBefore w:val="0"/>
        <w:numPr>
          <w:ilvl w:val="1"/>
          <w:numId w:val="0"/>
        </w:numPr>
        <w:tabs>
          <w:tab w:val="left" w:pos="1080"/>
          <w:tab w:val="left" w:pos="1872"/>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5.3</w:t>
      </w:r>
      <w:r>
        <w:rPr>
          <w:rFonts w:hint="eastAsia" w:ascii="宋体" w:hAnsi="宋体" w:eastAsia="宋体" w:cs="宋体"/>
          <w:color w:val="auto"/>
          <w:sz w:val="24"/>
          <w:szCs w:val="24"/>
          <w:highlight w:val="none"/>
        </w:rPr>
        <w:t>非政府强制采购的节能产品或环境标志产品，依据品目清单和认证证书实施政府优先采购。优先采购的具体规定（如涉及）</w:t>
      </w:r>
      <w:r>
        <w:rPr>
          <w:rFonts w:hint="eastAsia" w:ascii="宋体" w:hAnsi="宋体" w:eastAsia="宋体" w:cs="宋体"/>
          <w:color w:val="auto"/>
          <w:sz w:val="24"/>
          <w:szCs w:val="24"/>
          <w:highlight w:val="none"/>
          <w:u w:val="single"/>
        </w:rPr>
        <w:t>无</w:t>
      </w:r>
      <w:r>
        <w:rPr>
          <w:rFonts w:hint="eastAsia" w:ascii="宋体" w:hAnsi="宋体" w:eastAsia="宋体" w:cs="宋体"/>
          <w:color w:val="auto"/>
          <w:sz w:val="24"/>
          <w:szCs w:val="24"/>
          <w:highlight w:val="none"/>
        </w:rPr>
        <w:t>。</w:t>
      </w:r>
    </w:p>
    <w:p w14:paraId="2214A2C0">
      <w:pPr>
        <w:keepNext w:val="0"/>
        <w:keepLines w:val="0"/>
        <w:pageBreakBefore w:val="0"/>
        <w:numPr>
          <w:ilvl w:val="1"/>
          <w:numId w:val="0"/>
        </w:numPr>
        <w:tabs>
          <w:tab w:val="left" w:pos="1080"/>
          <w:tab w:val="left" w:pos="1872"/>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5.4</w:t>
      </w:r>
      <w:r>
        <w:rPr>
          <w:rFonts w:hint="eastAsia" w:ascii="宋体" w:hAnsi="宋体" w:eastAsia="宋体" w:cs="宋体"/>
          <w:color w:val="auto"/>
          <w:sz w:val="24"/>
          <w:szCs w:val="24"/>
          <w:highlight w:val="none"/>
        </w:rPr>
        <w:t>关于无线局域网认证产品政府采购清单中的产品，优先采购的具体规定（如涉及）</w:t>
      </w:r>
      <w:r>
        <w:rPr>
          <w:rFonts w:hint="eastAsia" w:ascii="宋体" w:hAnsi="宋体" w:eastAsia="宋体" w:cs="宋体"/>
          <w:color w:val="auto"/>
          <w:sz w:val="24"/>
          <w:szCs w:val="24"/>
          <w:highlight w:val="none"/>
          <w:u w:val="single"/>
        </w:rPr>
        <w:t>无</w:t>
      </w:r>
      <w:r>
        <w:rPr>
          <w:rFonts w:hint="eastAsia" w:ascii="宋体" w:hAnsi="宋体" w:eastAsia="宋体" w:cs="宋体"/>
          <w:color w:val="auto"/>
          <w:sz w:val="24"/>
          <w:szCs w:val="24"/>
          <w:highlight w:val="none"/>
        </w:rPr>
        <w:t>。</w:t>
      </w:r>
    </w:p>
    <w:p w14:paraId="49D44658">
      <w:pPr>
        <w:keepNext w:val="0"/>
        <w:keepLines w:val="0"/>
        <w:pageBreakBefore w:val="0"/>
        <w:numPr>
          <w:ilvl w:val="0"/>
          <w:numId w:val="0"/>
        </w:numPr>
        <w:tabs>
          <w:tab w:val="left" w:pos="360"/>
        </w:tabs>
        <w:kinsoku/>
        <w:wordWrap/>
        <w:overflowPunct/>
        <w:topLinePunct w:val="0"/>
        <w:autoSpaceDE/>
        <w:autoSpaceDN/>
        <w:bidi w:val="0"/>
        <w:adjustRightInd/>
        <w:snapToGri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6</w:t>
      </w:r>
      <w:r>
        <w:rPr>
          <w:rFonts w:hint="eastAsia" w:ascii="宋体" w:hAnsi="宋体" w:eastAsia="宋体" w:cs="宋体"/>
          <w:b/>
          <w:bCs/>
          <w:color w:val="auto"/>
          <w:sz w:val="24"/>
          <w:szCs w:val="24"/>
          <w:highlight w:val="none"/>
        </w:rPr>
        <w:t>确定</w:t>
      </w:r>
      <w:bookmarkStart w:id="644" w:name="_Toc226965819"/>
      <w:bookmarkStart w:id="645" w:name="_Toc226309790"/>
      <w:bookmarkStart w:id="646" w:name="_Toc127151747"/>
      <w:bookmarkStart w:id="647" w:name="_Toc150774646"/>
      <w:bookmarkStart w:id="648" w:name="_Toc164608660"/>
      <w:bookmarkStart w:id="649" w:name="_Toc305158814"/>
      <w:bookmarkStart w:id="650" w:name="_Toc195842911"/>
      <w:bookmarkStart w:id="651" w:name="_Toc127151546"/>
      <w:bookmarkStart w:id="652" w:name="_Toc151193788"/>
      <w:bookmarkStart w:id="653" w:name="_Toc226965736"/>
      <w:bookmarkStart w:id="654" w:name="_Toc151193644"/>
      <w:bookmarkStart w:id="655" w:name="_Toc520356170"/>
      <w:bookmarkStart w:id="656" w:name="_Toc226337242"/>
      <w:bookmarkStart w:id="657" w:name="_Toc142311048"/>
      <w:bookmarkStart w:id="658" w:name="_Toc164229387"/>
      <w:bookmarkStart w:id="659" w:name="_Toc127161460"/>
      <w:bookmarkStart w:id="660" w:name="_Toc305158888"/>
      <w:bookmarkStart w:id="661" w:name="_Toc164229241"/>
      <w:bookmarkStart w:id="662" w:name="_Toc151193934"/>
      <w:bookmarkStart w:id="663" w:name="_Toc264969236"/>
      <w:bookmarkStart w:id="664" w:name="_Toc150509297"/>
      <w:bookmarkStart w:id="665" w:name="_Toc149720839"/>
      <w:bookmarkStart w:id="666" w:name="_Toc151193716"/>
      <w:bookmarkStart w:id="667" w:name="_Toc150774751"/>
      <w:bookmarkStart w:id="668" w:name="_Toc164351640"/>
      <w:bookmarkStart w:id="669" w:name="_Toc164608815"/>
      <w:bookmarkStart w:id="670" w:name="_Toc265228384"/>
      <w:bookmarkStart w:id="671" w:name="_Ref467307010"/>
      <w:bookmarkStart w:id="672" w:name="_Toc151193860"/>
      <w:bookmarkStart w:id="673" w:name="_Toc151190173"/>
      <w:bookmarkStart w:id="674" w:name="_Toc150480784"/>
      <w:r>
        <w:rPr>
          <w:rFonts w:hint="eastAsia" w:ascii="宋体" w:hAnsi="宋体" w:eastAsia="宋体" w:cs="宋体"/>
          <w:b/>
          <w:bCs/>
          <w:color w:val="auto"/>
          <w:sz w:val="24"/>
          <w:szCs w:val="24"/>
          <w:highlight w:val="none"/>
        </w:rPr>
        <w:t>成交候选人名单</w:t>
      </w:r>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p w14:paraId="67499810">
      <w:pPr>
        <w:keepNext w:val="0"/>
        <w:keepLines w:val="0"/>
        <w:pageBreakBefore w:val="0"/>
        <w:numPr>
          <w:ilvl w:val="1"/>
          <w:numId w:val="0"/>
        </w:numPr>
        <w:tabs>
          <w:tab w:val="left" w:pos="1080"/>
          <w:tab w:val="left" w:pos="1872"/>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6.1</w:t>
      </w:r>
      <w:r>
        <w:rPr>
          <w:rFonts w:hint="eastAsia" w:ascii="宋体" w:hAnsi="宋体" w:eastAsia="宋体" w:cs="宋体"/>
          <w:color w:val="auto"/>
          <w:sz w:val="24"/>
          <w:szCs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71EA9F84">
      <w:pPr>
        <w:keepNext w:val="0"/>
        <w:keepLines w:val="0"/>
        <w:pageBreakBefore w:val="0"/>
        <w:numPr>
          <w:ilvl w:val="1"/>
          <w:numId w:val="0"/>
        </w:numPr>
        <w:tabs>
          <w:tab w:val="left" w:pos="1080"/>
          <w:tab w:val="left" w:pos="1872"/>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6.2</w:t>
      </w:r>
      <w:r>
        <w:rPr>
          <w:rFonts w:hint="eastAsia" w:ascii="宋体" w:hAnsi="宋体" w:eastAsia="宋体" w:cs="宋体"/>
          <w:color w:val="auto"/>
          <w:sz w:val="24"/>
          <w:szCs w:val="24"/>
          <w:highlight w:val="none"/>
        </w:rPr>
        <w:t>磋商小组根据上述供应商排序，依次推荐排序前3名的供应商为成交候选供应商（若在磋商文件允许的情形下提交最终报价的供应商为二家，则依次推荐二名供应商为成交候选供应商），并编写评审报告。</w:t>
      </w:r>
    </w:p>
    <w:p w14:paraId="19E73672">
      <w:pPr>
        <w:keepNext w:val="0"/>
        <w:keepLines w:val="0"/>
        <w:pageBreakBefore w:val="0"/>
        <w:numPr>
          <w:ilvl w:val="1"/>
          <w:numId w:val="0"/>
        </w:numPr>
        <w:tabs>
          <w:tab w:val="left" w:pos="1080"/>
          <w:tab w:val="left" w:pos="1872"/>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6.3</w:t>
      </w:r>
      <w:r>
        <w:rPr>
          <w:rFonts w:hint="eastAsia" w:ascii="宋体" w:hAnsi="宋体" w:eastAsia="宋体" w:cs="宋体"/>
          <w:color w:val="auto"/>
          <w:sz w:val="24"/>
          <w:szCs w:val="24"/>
          <w:highlight w:val="none"/>
        </w:rPr>
        <w:t>磋商小组要对评分汇总情况进行复核，特别是对排名第一的、报价最低的、响应文件被认定为无效的情形进行重点复核。</w:t>
      </w:r>
    </w:p>
    <w:p w14:paraId="71573DCA">
      <w:pPr>
        <w:keepNext w:val="0"/>
        <w:keepLines w:val="0"/>
        <w:pageBreakBefore w:val="0"/>
        <w:numPr>
          <w:ilvl w:val="0"/>
          <w:numId w:val="0"/>
        </w:numPr>
        <w:tabs>
          <w:tab w:val="left" w:pos="360"/>
        </w:tabs>
        <w:kinsoku/>
        <w:wordWrap/>
        <w:overflowPunct/>
        <w:topLinePunct w:val="0"/>
        <w:autoSpaceDE/>
        <w:autoSpaceDN/>
        <w:bidi w:val="0"/>
        <w:adjustRightInd/>
        <w:snapToGrid/>
        <w:spacing w:line="360" w:lineRule="auto"/>
        <w:ind w:left="0" w:leftChars="0" w:firstLine="482" w:firstLineChars="200"/>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7</w:t>
      </w:r>
      <w:r>
        <w:rPr>
          <w:rFonts w:hint="eastAsia" w:ascii="宋体" w:hAnsi="宋体" w:eastAsia="宋体" w:cs="宋体"/>
          <w:b/>
          <w:bCs/>
          <w:color w:val="auto"/>
          <w:sz w:val="24"/>
          <w:szCs w:val="24"/>
          <w:highlight w:val="none"/>
        </w:rPr>
        <w:t>报告违法行为</w:t>
      </w:r>
    </w:p>
    <w:p w14:paraId="4B643DE4">
      <w:pPr>
        <w:keepNext w:val="0"/>
        <w:keepLines w:val="0"/>
        <w:pageBreakBefore w:val="0"/>
        <w:widowControl/>
        <w:numPr>
          <w:ilvl w:val="1"/>
          <w:numId w:val="0"/>
        </w:numPr>
        <w:tabs>
          <w:tab w:val="left" w:pos="1080"/>
          <w:tab w:val="left" w:pos="1872"/>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val="0"/>
          <w:color w:val="auto"/>
          <w:sz w:val="24"/>
          <w:szCs w:val="24"/>
          <w:highlight w:val="none"/>
          <w:lang w:val="en-US" w:eastAsia="zh-CN" w:bidi="ar-SA"/>
        </w:rPr>
        <w:t>7.1</w:t>
      </w:r>
      <w:r>
        <w:rPr>
          <w:rFonts w:hint="eastAsia" w:ascii="宋体" w:hAnsi="宋体" w:eastAsia="宋体" w:cs="宋体"/>
          <w:color w:val="auto"/>
          <w:sz w:val="24"/>
          <w:szCs w:val="24"/>
          <w:highlight w:val="none"/>
        </w:rPr>
        <w:t>磋商小组在评审过程中发现供应商有行贿、提供虚假材料或者串通等违法行为时，有向采购人、采购代理机构或者有关部门报告的职责。</w:t>
      </w:r>
    </w:p>
    <w:p w14:paraId="6A0A4E16">
      <w:pPr>
        <w:pStyle w:val="196"/>
        <w:numPr>
          <w:ilvl w:val="0"/>
          <w:numId w:val="0"/>
        </w:numPr>
        <w:spacing w:before="0" w:line="360" w:lineRule="auto"/>
        <w:jc w:val="both"/>
        <w:rPr>
          <w:rFonts w:ascii="Times New Roman" w:hAnsi="Times New Roman" w:eastAsia="宋体"/>
          <w:color w:val="auto"/>
          <w:sz w:val="24"/>
          <w:szCs w:val="24"/>
          <w:highlight w:val="yellow"/>
        </w:rPr>
      </w:pPr>
      <w:r>
        <w:rPr>
          <w:rFonts w:ascii="Times New Roman" w:hAnsi="Times New Roman" w:eastAsia="宋体"/>
          <w:color w:val="auto"/>
          <w:sz w:val="24"/>
          <w:szCs w:val="24"/>
          <w:highlight w:val="none"/>
        </w:rPr>
        <w:br w:type="page" w:clear="all"/>
      </w:r>
      <w:r>
        <w:rPr>
          <w:rFonts w:hint="eastAsia" w:ascii="Times New Roman" w:hAnsi="Times New Roman" w:eastAsia="宋体"/>
          <w:color w:val="auto"/>
          <w:sz w:val="24"/>
          <w:szCs w:val="24"/>
          <w:highlight w:val="none"/>
          <w:lang w:val="en-US" w:eastAsia="zh-CN"/>
        </w:rPr>
        <w:t>二、</w:t>
      </w:r>
      <w:r>
        <w:rPr>
          <w:rFonts w:ascii="Times New Roman" w:hAnsi="Times New Roman" w:eastAsia="宋体"/>
          <w:color w:val="auto"/>
          <w:sz w:val="24"/>
          <w:szCs w:val="24"/>
          <w:highlight w:val="none"/>
        </w:rPr>
        <w:t>评</w:t>
      </w:r>
      <w:r>
        <w:rPr>
          <w:rFonts w:hint="eastAsia" w:ascii="Times New Roman" w:hAnsi="Times New Roman" w:eastAsia="宋体"/>
          <w:color w:val="auto"/>
          <w:sz w:val="24"/>
          <w:szCs w:val="24"/>
          <w:highlight w:val="none"/>
        </w:rPr>
        <w:t>审</w:t>
      </w:r>
      <w:r>
        <w:rPr>
          <w:rFonts w:ascii="Times New Roman" w:hAnsi="Times New Roman" w:eastAsia="宋体"/>
          <w:color w:val="auto"/>
          <w:sz w:val="24"/>
          <w:szCs w:val="24"/>
          <w:highlight w:val="none"/>
        </w:rPr>
        <w:t>标准</w:t>
      </w:r>
    </w:p>
    <w:tbl>
      <w:tblPr>
        <w:tblStyle w:val="36"/>
        <w:tblW w:w="51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719"/>
        <w:gridCol w:w="871"/>
        <w:gridCol w:w="6530"/>
      </w:tblGrid>
      <w:tr w14:paraId="4586D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418" w:type="pct"/>
            <w:noWrap/>
            <w:vAlign w:val="center"/>
          </w:tcPr>
          <w:p w14:paraId="3FEAE26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863" w:type="pct"/>
            <w:noWrap/>
            <w:vAlign w:val="center"/>
          </w:tcPr>
          <w:p w14:paraId="5F40110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评分因素</w:t>
            </w:r>
          </w:p>
        </w:tc>
        <w:tc>
          <w:tcPr>
            <w:tcW w:w="437" w:type="pct"/>
            <w:noWrap/>
            <w:vAlign w:val="center"/>
          </w:tcPr>
          <w:p w14:paraId="18581E4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3280" w:type="pct"/>
            <w:noWrap/>
            <w:vAlign w:val="center"/>
          </w:tcPr>
          <w:p w14:paraId="5E06196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r>
      <w:tr w14:paraId="1F827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5000" w:type="pct"/>
            <w:gridSpan w:val="4"/>
            <w:noWrap/>
            <w:vAlign w:val="center"/>
          </w:tcPr>
          <w:p w14:paraId="08B20BB9">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一、价格分（</w:t>
            </w:r>
            <w:r>
              <w:rPr>
                <w:rFonts w:hint="eastAsia" w:ascii="宋体" w:hAnsi="宋体" w:cs="宋体"/>
                <w:b/>
                <w:color w:val="auto"/>
                <w:sz w:val="24"/>
                <w:szCs w:val="24"/>
                <w:highlight w:val="none"/>
                <w:lang w:val="en-US" w:eastAsia="zh-CN"/>
              </w:rPr>
              <w:t>2</w:t>
            </w:r>
            <w:r>
              <w:rPr>
                <w:rFonts w:hint="eastAsia" w:ascii="宋体" w:hAnsi="宋体" w:eastAsia="宋体" w:cs="宋体"/>
                <w:b/>
                <w:color w:val="auto"/>
                <w:sz w:val="24"/>
                <w:szCs w:val="24"/>
                <w:highlight w:val="none"/>
              </w:rPr>
              <w:t>0分）</w:t>
            </w:r>
          </w:p>
        </w:tc>
      </w:tr>
      <w:tr w14:paraId="0BE70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418" w:type="pct"/>
            <w:noWrap/>
            <w:vAlign w:val="center"/>
          </w:tcPr>
          <w:p w14:paraId="7333C6B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63" w:type="pct"/>
            <w:noWrap/>
            <w:vAlign w:val="center"/>
          </w:tcPr>
          <w:p w14:paraId="4901B68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报价分</w:t>
            </w:r>
          </w:p>
        </w:tc>
        <w:tc>
          <w:tcPr>
            <w:tcW w:w="437" w:type="pct"/>
            <w:noWrap/>
            <w:vAlign w:val="center"/>
          </w:tcPr>
          <w:p w14:paraId="56A15C0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0</w:t>
            </w:r>
          </w:p>
        </w:tc>
        <w:tc>
          <w:tcPr>
            <w:tcW w:w="3280" w:type="pct"/>
            <w:noWrap/>
            <w:vAlign w:val="center"/>
          </w:tcPr>
          <w:p w14:paraId="6D2543B6">
            <w:pPr>
              <w:keepNext w:val="0"/>
              <w:keepLines w:val="0"/>
              <w:pageBreakBefore w:val="0"/>
              <w:widowControl w:val="0"/>
              <w:kinsoku/>
              <w:wordWrap/>
              <w:overflowPunct/>
              <w:topLinePunct w:val="0"/>
              <w:autoSpaceDE/>
              <w:autoSpaceDN/>
              <w:bidi w:val="0"/>
              <w:adjustRightInd/>
              <w:snapToGrid w:val="0"/>
              <w:spacing w:line="240" w:lineRule="auto"/>
              <w:ind w:firstLine="170"/>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价格分采用低价优先法计算，即满足磋商文件要求且磋商价格最低的磋商报价为磋商基准价，其价格分为满分。其他供应商的价格分统一按照下列公式计算（计算结果四舍五入保留两位小数）：磋商报价得分=（磋商基准价/最后磋商报价）×</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00</w:t>
            </w:r>
          </w:p>
        </w:tc>
      </w:tr>
      <w:tr w14:paraId="474D7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5000" w:type="pct"/>
            <w:gridSpan w:val="4"/>
            <w:noWrap/>
            <w:vAlign w:val="center"/>
          </w:tcPr>
          <w:p w14:paraId="52B397DE">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二、技术分（</w:t>
            </w:r>
            <w:r>
              <w:rPr>
                <w:rFonts w:hint="eastAsia" w:ascii="宋体" w:hAnsi="宋体" w:cs="宋体"/>
                <w:b/>
                <w:color w:val="auto"/>
                <w:sz w:val="24"/>
                <w:szCs w:val="24"/>
                <w:highlight w:val="none"/>
                <w:lang w:val="en-US" w:eastAsia="zh-CN"/>
              </w:rPr>
              <w:t>50</w:t>
            </w:r>
            <w:r>
              <w:rPr>
                <w:rFonts w:hint="eastAsia" w:ascii="宋体" w:hAnsi="宋体" w:eastAsia="宋体" w:cs="宋体"/>
                <w:b/>
                <w:color w:val="auto"/>
                <w:sz w:val="24"/>
                <w:szCs w:val="24"/>
                <w:highlight w:val="none"/>
              </w:rPr>
              <w:t>分）</w:t>
            </w:r>
          </w:p>
        </w:tc>
      </w:tr>
      <w:tr w14:paraId="3AFFF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jc w:val="center"/>
        </w:trPr>
        <w:tc>
          <w:tcPr>
            <w:tcW w:w="418" w:type="pct"/>
            <w:noWrap/>
            <w:vAlign w:val="center"/>
          </w:tcPr>
          <w:p w14:paraId="40A564A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863" w:type="pct"/>
            <w:noWrap/>
            <w:vAlign w:val="center"/>
          </w:tcPr>
          <w:p w14:paraId="3EE4E4C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总体运维设计</w:t>
            </w:r>
          </w:p>
        </w:tc>
        <w:tc>
          <w:tcPr>
            <w:tcW w:w="437" w:type="pct"/>
            <w:noWrap/>
            <w:vAlign w:val="center"/>
          </w:tcPr>
          <w:p w14:paraId="7051444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p>
        </w:tc>
        <w:tc>
          <w:tcPr>
            <w:tcW w:w="3280" w:type="pct"/>
            <w:noWrap/>
            <w:vAlign w:val="center"/>
          </w:tcPr>
          <w:p w14:paraId="1659A55C">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根据</w:t>
            </w:r>
            <w:r>
              <w:rPr>
                <w:rFonts w:hint="eastAsia" w:ascii="宋体" w:hAnsi="宋体" w:cs="宋体"/>
                <w:b/>
                <w:bCs/>
                <w:color w:val="auto"/>
                <w:sz w:val="24"/>
                <w:szCs w:val="24"/>
                <w:highlight w:val="none"/>
                <w:lang w:eastAsia="zh-CN"/>
              </w:rPr>
              <w:t>供应商对本项目</w:t>
            </w:r>
            <w:r>
              <w:rPr>
                <w:rFonts w:hint="eastAsia" w:ascii="宋体" w:hAnsi="宋体" w:eastAsia="宋体" w:cs="宋体"/>
                <w:b/>
                <w:bCs/>
                <w:color w:val="auto"/>
                <w:sz w:val="24"/>
                <w:szCs w:val="24"/>
                <w:highlight w:val="none"/>
              </w:rPr>
              <w:t>提供的</w:t>
            </w:r>
            <w:r>
              <w:rPr>
                <w:rFonts w:hint="eastAsia" w:ascii="宋体" w:hAnsi="宋体" w:cs="宋体"/>
                <w:b/>
                <w:bCs/>
                <w:color w:val="auto"/>
                <w:sz w:val="24"/>
                <w:szCs w:val="24"/>
                <w:highlight w:val="none"/>
                <w:lang w:eastAsia="zh-CN"/>
              </w:rPr>
              <w:t>服务系统</w:t>
            </w:r>
            <w:r>
              <w:rPr>
                <w:rFonts w:hint="eastAsia" w:ascii="宋体" w:hAnsi="宋体" w:eastAsia="宋体" w:cs="宋体"/>
                <w:b/>
                <w:bCs/>
                <w:color w:val="auto"/>
                <w:sz w:val="24"/>
                <w:szCs w:val="24"/>
                <w:highlight w:val="none"/>
              </w:rPr>
              <w:t>总体运维设计（包括运维服务制度、运维服务流程、运维服务计划等内容）综合评分：</w:t>
            </w:r>
          </w:p>
          <w:p w14:paraId="0C650458">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（1）总体设计思路具有科学性和前瞻性，系统架构设计科学合理，得</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分；</w:t>
            </w:r>
          </w:p>
          <w:p w14:paraId="4C658CE5">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（2）总体设计思路能基本满足现有需求，系统架构设计基本可行，得</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分；</w:t>
            </w:r>
          </w:p>
          <w:p w14:paraId="7E05ADD9">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（3）总体思路较为混乱，合理性和条理性差，内容陈旧，系统架构设计不合理，得</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w:t>
            </w:r>
          </w:p>
          <w:p w14:paraId="5333AC0D">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（4）未提供不得分。</w:t>
            </w:r>
          </w:p>
        </w:tc>
      </w:tr>
      <w:tr w14:paraId="08C5A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jc w:val="center"/>
        </w:trPr>
        <w:tc>
          <w:tcPr>
            <w:tcW w:w="418" w:type="pct"/>
            <w:noWrap/>
            <w:vAlign w:val="center"/>
          </w:tcPr>
          <w:p w14:paraId="4356905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2.2</w:t>
            </w:r>
          </w:p>
        </w:tc>
        <w:tc>
          <w:tcPr>
            <w:tcW w:w="863" w:type="pct"/>
            <w:noWrap/>
            <w:vAlign w:val="center"/>
          </w:tcPr>
          <w:p w14:paraId="40B22E2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需求分析理解</w:t>
            </w:r>
          </w:p>
        </w:tc>
        <w:tc>
          <w:tcPr>
            <w:tcW w:w="437" w:type="pct"/>
            <w:noWrap/>
            <w:vAlign w:val="center"/>
          </w:tcPr>
          <w:p w14:paraId="42FFF83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3280" w:type="pct"/>
            <w:noWrap/>
            <w:vAlign w:val="center"/>
          </w:tcPr>
          <w:p w14:paraId="207E0D64">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根据</w:t>
            </w:r>
            <w:r>
              <w:rPr>
                <w:rFonts w:hint="eastAsia" w:ascii="宋体" w:hAnsi="宋体" w:cs="宋体"/>
                <w:b/>
                <w:bCs/>
                <w:color w:val="auto"/>
                <w:sz w:val="24"/>
                <w:szCs w:val="24"/>
                <w:highlight w:val="none"/>
                <w:lang w:eastAsia="zh-CN"/>
              </w:rPr>
              <w:t>供应商针对本项目采购需求</w:t>
            </w:r>
            <w:r>
              <w:rPr>
                <w:rFonts w:hint="eastAsia" w:ascii="宋体" w:hAnsi="宋体" w:eastAsia="宋体" w:cs="宋体"/>
                <w:b/>
                <w:bCs/>
                <w:color w:val="auto"/>
                <w:sz w:val="24"/>
                <w:szCs w:val="24"/>
                <w:highlight w:val="none"/>
              </w:rPr>
              <w:t>提供的</w:t>
            </w:r>
            <w:r>
              <w:rPr>
                <w:rFonts w:hint="eastAsia" w:ascii="宋体" w:hAnsi="宋体" w:cs="宋体"/>
                <w:b/>
                <w:bCs/>
                <w:color w:val="auto"/>
                <w:sz w:val="24"/>
                <w:szCs w:val="24"/>
                <w:highlight w:val="none"/>
                <w:lang w:eastAsia="zh-CN"/>
              </w:rPr>
              <w:t>认识、分析和理解方案，包括</w:t>
            </w:r>
            <w:r>
              <w:rPr>
                <w:rFonts w:hint="eastAsia" w:ascii="宋体" w:hAnsi="宋体" w:eastAsia="宋体" w:cs="宋体"/>
                <w:b/>
                <w:bCs/>
                <w:color w:val="auto"/>
                <w:sz w:val="24"/>
                <w:szCs w:val="24"/>
                <w:highlight w:val="none"/>
              </w:rPr>
              <w:t>自身参加本项目的优势与有利条件的分析，对区</w:t>
            </w:r>
            <w:r>
              <w:rPr>
                <w:rFonts w:hint="eastAsia" w:ascii="宋体" w:hAnsi="宋体" w:cs="宋体"/>
                <w:b/>
                <w:bCs/>
                <w:color w:val="auto"/>
                <w:sz w:val="24"/>
                <w:szCs w:val="24"/>
                <w:highlight w:val="none"/>
                <w:lang w:eastAsia="zh-CN"/>
              </w:rPr>
              <w:t>域卫生信息</w:t>
            </w:r>
            <w:r>
              <w:rPr>
                <w:rFonts w:hint="eastAsia" w:ascii="宋体" w:hAnsi="宋体" w:eastAsia="宋体" w:cs="宋体"/>
                <w:b/>
                <w:bCs/>
                <w:color w:val="auto"/>
                <w:sz w:val="24"/>
                <w:szCs w:val="24"/>
                <w:highlight w:val="none"/>
              </w:rPr>
              <w:t>平台现状、部署情况、应用情况的理解与分析</w:t>
            </w:r>
            <w:r>
              <w:rPr>
                <w:rFonts w:hint="eastAsia" w:ascii="宋体" w:hAnsi="宋体" w:cs="宋体"/>
                <w:b/>
                <w:bCs/>
                <w:color w:val="auto"/>
                <w:sz w:val="24"/>
                <w:szCs w:val="24"/>
                <w:highlight w:val="none"/>
                <w:lang w:eastAsia="zh-CN"/>
              </w:rPr>
              <w:t>等</w:t>
            </w:r>
            <w:r>
              <w:rPr>
                <w:rFonts w:hint="eastAsia" w:ascii="宋体" w:hAnsi="宋体" w:eastAsia="宋体" w:cs="宋体"/>
                <w:b/>
                <w:bCs/>
                <w:color w:val="auto"/>
                <w:sz w:val="24"/>
                <w:szCs w:val="24"/>
                <w:highlight w:val="none"/>
              </w:rPr>
              <w:t>综合评分：</w:t>
            </w:r>
          </w:p>
          <w:p w14:paraId="293443B3">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（1）分析准确、认识深刻透彻、理解到位的，得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27E46B43">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（2）分析不够准确、认识不够深刻透彻、理解不够到位的，得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2AA4D938">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（3）分析浅显、没有正确的认识和理解的，得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57D1B1D7">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（4）未提供不得分。</w:t>
            </w:r>
          </w:p>
        </w:tc>
      </w:tr>
      <w:tr w14:paraId="34CF7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jc w:val="center"/>
        </w:trPr>
        <w:tc>
          <w:tcPr>
            <w:tcW w:w="418" w:type="pct"/>
            <w:noWrap/>
            <w:vAlign w:val="center"/>
          </w:tcPr>
          <w:p w14:paraId="25D860E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3</w:t>
            </w:r>
          </w:p>
        </w:tc>
        <w:tc>
          <w:tcPr>
            <w:tcW w:w="863" w:type="pct"/>
            <w:noWrap/>
            <w:vAlign w:val="center"/>
          </w:tcPr>
          <w:p w14:paraId="3E01346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对基层业务信息系统运维服务的分析和理解</w:t>
            </w:r>
          </w:p>
        </w:tc>
        <w:tc>
          <w:tcPr>
            <w:tcW w:w="437" w:type="pct"/>
            <w:noWrap/>
            <w:vAlign w:val="center"/>
          </w:tcPr>
          <w:p w14:paraId="0A7181B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280" w:type="pct"/>
            <w:noWrap/>
            <w:vAlign w:val="center"/>
          </w:tcPr>
          <w:p w14:paraId="75BA5CE2">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根据供应商对本项目</w:t>
            </w:r>
            <w:r>
              <w:rPr>
                <w:rFonts w:hint="eastAsia" w:ascii="宋体" w:hAnsi="宋体" w:cs="宋体"/>
                <w:b/>
                <w:bCs/>
                <w:color w:val="auto"/>
                <w:sz w:val="24"/>
                <w:szCs w:val="24"/>
                <w:highlight w:val="none"/>
                <w:lang w:eastAsia="zh-CN"/>
              </w:rPr>
              <w:t>基层业务信息系统运维服务，包括</w:t>
            </w:r>
            <w:r>
              <w:rPr>
                <w:rFonts w:hint="eastAsia" w:ascii="宋体" w:hAnsi="宋体" w:eastAsia="宋体" w:cs="宋体"/>
                <w:b/>
                <w:bCs/>
                <w:sz w:val="24"/>
                <w:szCs w:val="24"/>
              </w:rPr>
              <w:t>维护目标、工作重点难点的理解与分析，实施过程中工作要点、关键点、难点所采取措施</w:t>
            </w:r>
            <w:r>
              <w:rPr>
                <w:rFonts w:hint="eastAsia" w:ascii="宋体" w:hAnsi="宋体" w:cs="宋体"/>
                <w:b/>
                <w:bCs/>
                <w:sz w:val="24"/>
                <w:szCs w:val="24"/>
                <w:lang w:eastAsia="zh-CN"/>
              </w:rPr>
              <w:t>等</w:t>
            </w:r>
            <w:r>
              <w:rPr>
                <w:rFonts w:hint="eastAsia" w:ascii="宋体" w:hAnsi="宋体" w:cs="宋体"/>
                <w:b/>
                <w:bCs/>
                <w:color w:val="auto"/>
                <w:sz w:val="24"/>
                <w:szCs w:val="24"/>
                <w:highlight w:val="none"/>
                <w:lang w:eastAsia="zh-CN"/>
              </w:rPr>
              <w:t>分析和理解综合评分</w:t>
            </w:r>
            <w:r>
              <w:rPr>
                <w:rFonts w:hint="eastAsia" w:ascii="宋体" w:hAnsi="宋体" w:eastAsia="宋体" w:cs="宋体"/>
                <w:b/>
                <w:bCs/>
                <w:color w:val="auto"/>
                <w:sz w:val="24"/>
                <w:szCs w:val="24"/>
                <w:highlight w:val="none"/>
              </w:rPr>
              <w:t>：</w:t>
            </w:r>
          </w:p>
          <w:p w14:paraId="1F215477">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eastAsia="宋体" w:cs="宋体"/>
                <w:sz w:val="24"/>
                <w:szCs w:val="24"/>
              </w:rPr>
              <w:t>分析准确有明确解决思路和措施</w:t>
            </w:r>
            <w:r>
              <w:rPr>
                <w:rFonts w:hint="eastAsia" w:ascii="宋体" w:hAnsi="宋体" w:cs="宋体"/>
                <w:sz w:val="24"/>
                <w:szCs w:val="24"/>
                <w:lang w:eastAsia="zh-CN"/>
              </w:rPr>
              <w:t>，</w:t>
            </w:r>
            <w:r>
              <w:rPr>
                <w:rFonts w:hint="eastAsia" w:ascii="宋体" w:hAnsi="宋体" w:eastAsia="宋体" w:cs="宋体"/>
                <w:sz w:val="24"/>
                <w:szCs w:val="24"/>
              </w:rPr>
              <w:t>最有利于本项目实施的，得5分；</w:t>
            </w:r>
          </w:p>
          <w:p w14:paraId="191D081A">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（2）分析不够准确、解决思路和措施不够清晰，不能</w:t>
            </w:r>
            <w:r>
              <w:rPr>
                <w:rFonts w:hint="eastAsia" w:ascii="宋体" w:hAnsi="宋体" w:cs="宋体"/>
                <w:sz w:val="24"/>
                <w:szCs w:val="24"/>
                <w:lang w:eastAsia="zh-CN"/>
              </w:rPr>
              <w:t>最</w:t>
            </w:r>
            <w:r>
              <w:rPr>
                <w:rFonts w:hint="eastAsia" w:ascii="宋体" w:hAnsi="宋体" w:eastAsia="宋体" w:cs="宋体"/>
                <w:sz w:val="24"/>
                <w:szCs w:val="24"/>
              </w:rPr>
              <w:t>有利于本项目实施的，得3分；</w:t>
            </w:r>
          </w:p>
          <w:p w14:paraId="5DD8DC19">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（3）分析浅显、解决思路和措施不明确，不能有利于本项目实施的，得1分；</w:t>
            </w:r>
          </w:p>
          <w:p w14:paraId="7D565B42">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rPr>
              <w:t>（4）未提供不得分</w:t>
            </w:r>
            <w:r>
              <w:rPr>
                <w:rFonts w:hint="eastAsia" w:ascii="宋体" w:hAnsi="宋体" w:cs="宋体"/>
                <w:sz w:val="24"/>
                <w:szCs w:val="24"/>
                <w:lang w:eastAsia="zh-CN"/>
              </w:rPr>
              <w:t>。</w:t>
            </w:r>
          </w:p>
        </w:tc>
      </w:tr>
      <w:tr w14:paraId="05AC2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418" w:type="pct"/>
            <w:noWrap/>
            <w:vAlign w:val="center"/>
          </w:tcPr>
          <w:p w14:paraId="1AA330B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4</w:t>
            </w:r>
          </w:p>
        </w:tc>
        <w:tc>
          <w:tcPr>
            <w:tcW w:w="863" w:type="pct"/>
            <w:noWrap/>
            <w:vAlign w:val="center"/>
          </w:tcPr>
          <w:p w14:paraId="739CF5D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对运营管理平台运维服务的分析和理解</w:t>
            </w:r>
          </w:p>
        </w:tc>
        <w:tc>
          <w:tcPr>
            <w:tcW w:w="437" w:type="pct"/>
            <w:noWrap/>
            <w:vAlign w:val="center"/>
          </w:tcPr>
          <w:p w14:paraId="59825BF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280" w:type="pct"/>
            <w:noWrap/>
            <w:vAlign w:val="center"/>
          </w:tcPr>
          <w:p w14:paraId="34BD90EA">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根据供应商对本项目</w:t>
            </w:r>
            <w:r>
              <w:rPr>
                <w:rFonts w:hint="eastAsia" w:ascii="宋体" w:hAnsi="宋体" w:cs="宋体"/>
                <w:b/>
                <w:bCs/>
                <w:color w:val="auto"/>
                <w:sz w:val="24"/>
                <w:szCs w:val="24"/>
                <w:highlight w:val="none"/>
                <w:lang w:eastAsia="zh-CN"/>
              </w:rPr>
              <w:t>运营管理平台</w:t>
            </w:r>
            <w:r>
              <w:rPr>
                <w:rFonts w:hint="eastAsia" w:ascii="宋体" w:hAnsi="宋体" w:eastAsia="宋体" w:cs="宋体"/>
                <w:b/>
                <w:bCs/>
                <w:color w:val="auto"/>
                <w:sz w:val="24"/>
                <w:szCs w:val="24"/>
                <w:highlight w:val="none"/>
              </w:rPr>
              <w:t>运维服务</w:t>
            </w:r>
            <w:r>
              <w:rPr>
                <w:rFonts w:hint="eastAsia" w:ascii="宋体" w:hAnsi="宋体" w:cs="宋体"/>
                <w:b/>
                <w:bCs/>
                <w:color w:val="auto"/>
                <w:sz w:val="24"/>
                <w:szCs w:val="24"/>
                <w:highlight w:val="none"/>
                <w:lang w:eastAsia="zh-CN"/>
              </w:rPr>
              <w:t>，包括</w:t>
            </w:r>
            <w:r>
              <w:rPr>
                <w:rFonts w:hint="eastAsia" w:ascii="宋体" w:hAnsi="宋体" w:eastAsia="宋体" w:cs="宋体"/>
                <w:b/>
                <w:bCs/>
                <w:sz w:val="24"/>
                <w:szCs w:val="24"/>
              </w:rPr>
              <w:t>维护目标、工作重点难点的理解与分析，实施过程中工作要点、关键点、难点所采取措施</w:t>
            </w:r>
            <w:r>
              <w:rPr>
                <w:rFonts w:hint="eastAsia" w:ascii="宋体" w:hAnsi="宋体" w:cs="宋体"/>
                <w:b/>
                <w:bCs/>
                <w:sz w:val="24"/>
                <w:szCs w:val="24"/>
                <w:lang w:eastAsia="zh-CN"/>
              </w:rPr>
              <w:t>等</w:t>
            </w:r>
            <w:r>
              <w:rPr>
                <w:rFonts w:hint="eastAsia" w:ascii="宋体" w:hAnsi="宋体" w:eastAsia="宋体" w:cs="宋体"/>
                <w:b/>
                <w:bCs/>
                <w:color w:val="auto"/>
                <w:sz w:val="24"/>
                <w:szCs w:val="24"/>
                <w:highlight w:val="none"/>
              </w:rPr>
              <w:t>分析和理解</w:t>
            </w:r>
            <w:r>
              <w:rPr>
                <w:rFonts w:hint="eastAsia" w:ascii="宋体" w:hAnsi="宋体" w:cs="宋体"/>
                <w:b/>
                <w:bCs/>
                <w:color w:val="auto"/>
                <w:sz w:val="24"/>
                <w:szCs w:val="24"/>
                <w:highlight w:val="none"/>
                <w:lang w:eastAsia="zh-CN"/>
              </w:rPr>
              <w:t>综合评分：</w:t>
            </w:r>
          </w:p>
          <w:p w14:paraId="0F7AE16E">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析准确有明确解决思路和措施</w:t>
            </w:r>
            <w:r>
              <w:rPr>
                <w:rFonts w:hint="eastAsia" w:ascii="宋体" w:hAnsi="宋体" w:cs="宋体"/>
                <w:sz w:val="24"/>
                <w:szCs w:val="24"/>
                <w:lang w:eastAsia="zh-CN"/>
              </w:rPr>
              <w:t>，</w:t>
            </w:r>
            <w:r>
              <w:rPr>
                <w:rFonts w:hint="eastAsia" w:ascii="宋体" w:hAnsi="宋体" w:eastAsia="宋体" w:cs="宋体"/>
                <w:sz w:val="24"/>
                <w:szCs w:val="24"/>
              </w:rPr>
              <w:t>最有利于本项目实施的，得5分；</w:t>
            </w:r>
          </w:p>
          <w:p w14:paraId="2D72AD21">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（2）分析不够准确、解决思路和措施不够清晰，不能</w:t>
            </w:r>
            <w:r>
              <w:rPr>
                <w:rFonts w:hint="eastAsia" w:ascii="宋体" w:hAnsi="宋体" w:cs="宋体"/>
                <w:sz w:val="24"/>
                <w:szCs w:val="24"/>
                <w:lang w:eastAsia="zh-CN"/>
              </w:rPr>
              <w:t>最</w:t>
            </w:r>
            <w:r>
              <w:rPr>
                <w:rFonts w:hint="eastAsia" w:ascii="宋体" w:hAnsi="宋体" w:eastAsia="宋体" w:cs="宋体"/>
                <w:sz w:val="24"/>
                <w:szCs w:val="24"/>
              </w:rPr>
              <w:t>有利于本项目实施的，得3分；</w:t>
            </w:r>
          </w:p>
          <w:p w14:paraId="37B1C606">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（3）分析浅显、解决思路和措施不明确，不能有利于本项目实施的，得1分；</w:t>
            </w:r>
          </w:p>
          <w:p w14:paraId="32300975">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rPr>
              <w:t>（4）未提供不得分</w:t>
            </w:r>
            <w:r>
              <w:rPr>
                <w:rFonts w:hint="eastAsia" w:ascii="宋体" w:hAnsi="宋体" w:cs="宋体"/>
                <w:sz w:val="24"/>
                <w:szCs w:val="24"/>
                <w:lang w:eastAsia="zh-CN"/>
              </w:rPr>
              <w:t>。</w:t>
            </w:r>
          </w:p>
        </w:tc>
      </w:tr>
      <w:tr w14:paraId="0C340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jc w:val="center"/>
        </w:trPr>
        <w:tc>
          <w:tcPr>
            <w:tcW w:w="418" w:type="pct"/>
            <w:noWrap/>
            <w:vAlign w:val="center"/>
          </w:tcPr>
          <w:p w14:paraId="2A9EAC7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5</w:t>
            </w:r>
          </w:p>
        </w:tc>
        <w:tc>
          <w:tcPr>
            <w:tcW w:w="863" w:type="pct"/>
            <w:noWrap/>
            <w:vAlign w:val="center"/>
          </w:tcPr>
          <w:p w14:paraId="7CF4F94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对业务系统对接服务的分析和理解</w:t>
            </w:r>
          </w:p>
        </w:tc>
        <w:tc>
          <w:tcPr>
            <w:tcW w:w="437" w:type="pct"/>
            <w:noWrap/>
            <w:vAlign w:val="center"/>
          </w:tcPr>
          <w:p w14:paraId="1555BCD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280" w:type="pct"/>
            <w:noWrap/>
            <w:vAlign w:val="center"/>
          </w:tcPr>
          <w:p w14:paraId="7192D90D">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根据供应商对本项目中提供对</w:t>
            </w:r>
            <w:r>
              <w:rPr>
                <w:rFonts w:hint="eastAsia" w:ascii="宋体" w:hAnsi="宋体" w:cs="宋体"/>
                <w:b/>
                <w:bCs/>
                <w:color w:val="auto"/>
                <w:sz w:val="24"/>
                <w:szCs w:val="24"/>
                <w:highlight w:val="none"/>
                <w:lang w:eastAsia="zh-CN"/>
              </w:rPr>
              <w:t>业务系统对接服务，包括</w:t>
            </w:r>
            <w:r>
              <w:rPr>
                <w:rFonts w:hint="eastAsia" w:ascii="宋体" w:hAnsi="宋体" w:eastAsia="宋体" w:cs="宋体"/>
                <w:b/>
                <w:bCs/>
                <w:sz w:val="24"/>
                <w:szCs w:val="24"/>
              </w:rPr>
              <w:t>维护目标、工作重点难点的理解与分析，实施过程中工作要点、关键点、难点所采取措施</w:t>
            </w:r>
            <w:r>
              <w:rPr>
                <w:rFonts w:hint="eastAsia" w:ascii="宋体" w:hAnsi="宋体" w:cs="宋体"/>
                <w:b/>
                <w:bCs/>
                <w:sz w:val="24"/>
                <w:szCs w:val="24"/>
                <w:lang w:eastAsia="zh-CN"/>
              </w:rPr>
              <w:t>等</w:t>
            </w:r>
            <w:r>
              <w:rPr>
                <w:rFonts w:hint="eastAsia" w:ascii="宋体" w:hAnsi="宋体" w:cs="宋体"/>
                <w:b/>
                <w:bCs/>
                <w:color w:val="auto"/>
                <w:sz w:val="24"/>
                <w:szCs w:val="24"/>
                <w:highlight w:val="none"/>
                <w:lang w:eastAsia="zh-CN"/>
              </w:rPr>
              <w:t>分析和理解综合评分</w:t>
            </w:r>
            <w:r>
              <w:rPr>
                <w:rFonts w:hint="eastAsia" w:ascii="宋体" w:hAnsi="宋体" w:eastAsia="宋体" w:cs="宋体"/>
                <w:b/>
                <w:bCs/>
                <w:color w:val="auto"/>
                <w:sz w:val="24"/>
                <w:szCs w:val="24"/>
                <w:highlight w:val="none"/>
              </w:rPr>
              <w:t>：</w:t>
            </w:r>
          </w:p>
          <w:p w14:paraId="5C62E301">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分析准确有明确解决思路和措施，最有利于本项目实施的，得5分；</w:t>
            </w:r>
          </w:p>
          <w:p w14:paraId="518B6576">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（2）分析不够准确、解决思路和措施不够清晰，不能最有利于本项目实施的，得3分；</w:t>
            </w:r>
          </w:p>
          <w:p w14:paraId="01523E63">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（3）分析浅显、解决思路和措施不明确，不能有利于本项目实施的，得1分；</w:t>
            </w:r>
          </w:p>
          <w:p w14:paraId="678FC588">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（4）未提供不得分。</w:t>
            </w:r>
          </w:p>
        </w:tc>
      </w:tr>
      <w:tr w14:paraId="59E2A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jc w:val="center"/>
        </w:trPr>
        <w:tc>
          <w:tcPr>
            <w:tcW w:w="418" w:type="pct"/>
            <w:noWrap/>
            <w:vAlign w:val="center"/>
          </w:tcPr>
          <w:p w14:paraId="796043A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6</w:t>
            </w:r>
          </w:p>
        </w:tc>
        <w:tc>
          <w:tcPr>
            <w:tcW w:w="863" w:type="pct"/>
            <w:noWrap/>
            <w:vAlign w:val="center"/>
          </w:tcPr>
          <w:p w14:paraId="0D50C6E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质量保证方案</w:t>
            </w:r>
          </w:p>
        </w:tc>
        <w:tc>
          <w:tcPr>
            <w:tcW w:w="437" w:type="pct"/>
            <w:noWrap/>
            <w:vAlign w:val="center"/>
          </w:tcPr>
          <w:p w14:paraId="2F139F0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280" w:type="pct"/>
            <w:noWrap/>
            <w:vAlign w:val="center"/>
          </w:tcPr>
          <w:p w14:paraId="067216B1">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根据供应商提供的质量保证方案综合评</w:t>
            </w:r>
            <w:r>
              <w:rPr>
                <w:rFonts w:hint="eastAsia" w:ascii="宋体" w:hAnsi="宋体" w:cs="宋体"/>
                <w:b/>
                <w:bCs/>
                <w:color w:val="auto"/>
                <w:sz w:val="24"/>
                <w:szCs w:val="24"/>
                <w:highlight w:val="none"/>
                <w:lang w:eastAsia="zh-CN"/>
              </w:rPr>
              <w:t>分</w:t>
            </w:r>
            <w:r>
              <w:rPr>
                <w:rFonts w:hint="eastAsia" w:ascii="宋体" w:hAnsi="宋体" w:eastAsia="宋体" w:cs="宋体"/>
                <w:b/>
                <w:bCs/>
                <w:color w:val="auto"/>
                <w:sz w:val="24"/>
                <w:szCs w:val="24"/>
                <w:highlight w:val="none"/>
              </w:rPr>
              <w:t>，供应商制定详细的质量保证方案，包括但不限于服务保证团队、项目管理、质量控制、风险管控等方面：</w:t>
            </w:r>
          </w:p>
          <w:p w14:paraId="311F35E7">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服务保证方案完整、合理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含高峰期保障人员分工表的得5分；</w:t>
            </w:r>
          </w:p>
          <w:p w14:paraId="084FB99D">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服务保证方案较完整、较合理的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无分工表得3分；</w:t>
            </w:r>
          </w:p>
          <w:p w14:paraId="53746704">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服务保证方案较差或者缺漏、不合理的得1分；</w:t>
            </w:r>
          </w:p>
          <w:p w14:paraId="0A693F91">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未提供不得分。</w:t>
            </w:r>
          </w:p>
        </w:tc>
      </w:tr>
      <w:tr w14:paraId="08562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jc w:val="center"/>
        </w:trPr>
        <w:tc>
          <w:tcPr>
            <w:tcW w:w="418" w:type="pct"/>
            <w:noWrap/>
            <w:vAlign w:val="center"/>
          </w:tcPr>
          <w:p w14:paraId="5BA655F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7</w:t>
            </w:r>
          </w:p>
        </w:tc>
        <w:tc>
          <w:tcPr>
            <w:tcW w:w="863" w:type="pct"/>
            <w:noWrap/>
            <w:vAlign w:val="center"/>
          </w:tcPr>
          <w:p w14:paraId="7193D7D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服务管理体系</w:t>
            </w:r>
          </w:p>
        </w:tc>
        <w:tc>
          <w:tcPr>
            <w:tcW w:w="437" w:type="pct"/>
            <w:noWrap/>
            <w:vAlign w:val="center"/>
          </w:tcPr>
          <w:p w14:paraId="6101D4B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280" w:type="pct"/>
            <w:noWrap/>
            <w:vAlign w:val="center"/>
          </w:tcPr>
          <w:p w14:paraId="11A1E4BA">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根据供应商提供的服务管理体系综合评</w:t>
            </w:r>
            <w:r>
              <w:rPr>
                <w:rFonts w:hint="eastAsia" w:ascii="宋体" w:hAnsi="宋体" w:cs="宋体"/>
                <w:b/>
                <w:bCs/>
                <w:color w:val="auto"/>
                <w:sz w:val="24"/>
                <w:szCs w:val="24"/>
                <w:highlight w:val="none"/>
                <w:lang w:eastAsia="zh-CN"/>
              </w:rPr>
              <w:t>分</w:t>
            </w:r>
            <w:r>
              <w:rPr>
                <w:rFonts w:hint="eastAsia" w:ascii="宋体" w:hAnsi="宋体" w:eastAsia="宋体" w:cs="宋体"/>
                <w:b/>
                <w:bCs/>
                <w:color w:val="auto"/>
                <w:sz w:val="24"/>
                <w:szCs w:val="24"/>
                <w:highlight w:val="none"/>
              </w:rPr>
              <w:t>，供应商制定详细的服务管理体系方案，包括但不限于服务管理体系建设原则、服务管理体系总体架构、服务管理体系内容等方面：</w:t>
            </w:r>
          </w:p>
          <w:p w14:paraId="79C9A9D9">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服务管理体系方案完整、合理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含服务考核指标表的得5分；</w:t>
            </w:r>
          </w:p>
          <w:p w14:paraId="24BB78F2">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服务管理体系方案较完整、合理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无考核指标的得3分；</w:t>
            </w:r>
          </w:p>
          <w:p w14:paraId="03680E61">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服务管理体系方案较差或者缺漏、不合理的得1分；</w:t>
            </w:r>
          </w:p>
          <w:p w14:paraId="63E5B0D6">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未提供不得分。</w:t>
            </w:r>
          </w:p>
        </w:tc>
      </w:tr>
      <w:tr w14:paraId="29154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jc w:val="center"/>
        </w:trPr>
        <w:tc>
          <w:tcPr>
            <w:tcW w:w="418" w:type="pct"/>
            <w:noWrap/>
            <w:vAlign w:val="center"/>
          </w:tcPr>
          <w:p w14:paraId="493C210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8</w:t>
            </w:r>
          </w:p>
        </w:tc>
        <w:tc>
          <w:tcPr>
            <w:tcW w:w="863" w:type="pct"/>
            <w:noWrap/>
            <w:vAlign w:val="center"/>
          </w:tcPr>
          <w:p w14:paraId="64FB219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现场运维服务方案</w:t>
            </w:r>
          </w:p>
        </w:tc>
        <w:tc>
          <w:tcPr>
            <w:tcW w:w="437" w:type="pct"/>
            <w:noWrap/>
            <w:vAlign w:val="center"/>
          </w:tcPr>
          <w:p w14:paraId="41875F5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280" w:type="pct"/>
            <w:noWrap/>
            <w:vAlign w:val="center"/>
          </w:tcPr>
          <w:p w14:paraId="48E98EBC">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根据供应商提供的现场运维服务方案综合评</w:t>
            </w:r>
            <w:r>
              <w:rPr>
                <w:rFonts w:hint="eastAsia" w:ascii="宋体" w:hAnsi="宋体" w:cs="宋体"/>
                <w:b/>
                <w:bCs/>
                <w:color w:val="auto"/>
                <w:sz w:val="24"/>
                <w:szCs w:val="24"/>
                <w:highlight w:val="none"/>
                <w:lang w:eastAsia="zh-CN"/>
              </w:rPr>
              <w:t>分</w:t>
            </w:r>
            <w:r>
              <w:rPr>
                <w:rFonts w:hint="eastAsia" w:ascii="宋体" w:hAnsi="宋体" w:eastAsia="宋体" w:cs="宋体"/>
                <w:b/>
                <w:bCs/>
                <w:color w:val="auto"/>
                <w:sz w:val="24"/>
                <w:szCs w:val="24"/>
                <w:highlight w:val="none"/>
              </w:rPr>
              <w:t>，供应商制定详细的现场运维服务方案，包括但不限于运维服务方式、运维服务流程、运维服务内容等方面：</w:t>
            </w:r>
          </w:p>
          <w:p w14:paraId="6564EDDC">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现场运维服务方案完整、合理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含7×24小时服务排班表的得5分；</w:t>
            </w:r>
          </w:p>
          <w:p w14:paraId="73DF62DC">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现场运维服务方案较完整、合理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无排班表的得3分；</w:t>
            </w:r>
          </w:p>
          <w:p w14:paraId="586F37F9">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现场运维服务方案较差或者缺漏、不合理的得1分；</w:t>
            </w:r>
          </w:p>
          <w:p w14:paraId="3C09B3EA">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未提供不得分。</w:t>
            </w:r>
          </w:p>
        </w:tc>
      </w:tr>
      <w:tr w14:paraId="41E7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jc w:val="center"/>
        </w:trPr>
        <w:tc>
          <w:tcPr>
            <w:tcW w:w="418" w:type="pct"/>
            <w:noWrap/>
            <w:vAlign w:val="center"/>
          </w:tcPr>
          <w:p w14:paraId="7C68048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9</w:t>
            </w:r>
          </w:p>
        </w:tc>
        <w:tc>
          <w:tcPr>
            <w:tcW w:w="863" w:type="pct"/>
            <w:noWrap/>
            <w:vAlign w:val="center"/>
          </w:tcPr>
          <w:p w14:paraId="7AF8A6D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安全保障方案</w:t>
            </w:r>
          </w:p>
        </w:tc>
        <w:tc>
          <w:tcPr>
            <w:tcW w:w="437" w:type="pct"/>
            <w:noWrap/>
            <w:vAlign w:val="center"/>
          </w:tcPr>
          <w:p w14:paraId="16DF55B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280" w:type="pct"/>
            <w:noWrap/>
            <w:vAlign w:val="center"/>
          </w:tcPr>
          <w:p w14:paraId="1EE92A54">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根据供应商提供的系统安全保障方案综合评</w:t>
            </w:r>
            <w:r>
              <w:rPr>
                <w:rFonts w:hint="eastAsia" w:ascii="宋体" w:hAnsi="宋体" w:cs="宋体"/>
                <w:b/>
                <w:bCs/>
                <w:color w:val="auto"/>
                <w:sz w:val="24"/>
                <w:szCs w:val="24"/>
                <w:highlight w:val="none"/>
                <w:lang w:eastAsia="zh-CN"/>
              </w:rPr>
              <w:t>分</w:t>
            </w:r>
            <w:r>
              <w:rPr>
                <w:rFonts w:hint="eastAsia" w:ascii="宋体" w:hAnsi="宋体" w:eastAsia="宋体" w:cs="宋体"/>
                <w:b/>
                <w:bCs/>
                <w:color w:val="auto"/>
                <w:sz w:val="24"/>
                <w:szCs w:val="24"/>
                <w:highlight w:val="none"/>
              </w:rPr>
              <w:t>，供应商制定详细的安全保障方案，包括但不限于安全运维管理、技术安全防护等方面：</w:t>
            </w:r>
          </w:p>
          <w:p w14:paraId="12130CA6">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安全保障方案完整、合理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含安全自查清单的得5分；</w:t>
            </w:r>
          </w:p>
          <w:p w14:paraId="0B50AFB3">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安全保障方案较完整、合理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无清单流程的得3分；</w:t>
            </w:r>
          </w:p>
          <w:p w14:paraId="204686B7">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安全保障方案较差或者缺漏、不合理的得1分；</w:t>
            </w:r>
          </w:p>
          <w:p w14:paraId="0DAB6842">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未提供不得分。</w:t>
            </w:r>
          </w:p>
        </w:tc>
      </w:tr>
      <w:tr w14:paraId="04BFE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jc w:val="center"/>
        </w:trPr>
        <w:tc>
          <w:tcPr>
            <w:tcW w:w="418" w:type="pct"/>
            <w:noWrap/>
            <w:vAlign w:val="center"/>
          </w:tcPr>
          <w:p w14:paraId="584CF98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10</w:t>
            </w:r>
          </w:p>
        </w:tc>
        <w:tc>
          <w:tcPr>
            <w:tcW w:w="863" w:type="pct"/>
            <w:noWrap/>
            <w:vAlign w:val="center"/>
          </w:tcPr>
          <w:p w14:paraId="2AF3ED6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应急预案</w:t>
            </w:r>
          </w:p>
        </w:tc>
        <w:tc>
          <w:tcPr>
            <w:tcW w:w="437" w:type="pct"/>
            <w:noWrap/>
            <w:vAlign w:val="center"/>
          </w:tcPr>
          <w:p w14:paraId="2314A4B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280" w:type="pct"/>
            <w:noWrap/>
            <w:vAlign w:val="center"/>
          </w:tcPr>
          <w:p w14:paraId="698E2B71">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根据供应商提供的应急预案综合评</w:t>
            </w:r>
            <w:r>
              <w:rPr>
                <w:rFonts w:hint="eastAsia" w:ascii="宋体" w:hAnsi="宋体" w:cs="宋体"/>
                <w:b/>
                <w:bCs/>
                <w:color w:val="auto"/>
                <w:sz w:val="24"/>
                <w:szCs w:val="24"/>
                <w:highlight w:val="none"/>
                <w:lang w:eastAsia="zh-CN"/>
              </w:rPr>
              <w:t>分</w:t>
            </w:r>
            <w:r>
              <w:rPr>
                <w:rFonts w:hint="eastAsia" w:ascii="宋体" w:hAnsi="宋体" w:eastAsia="宋体" w:cs="宋体"/>
                <w:b/>
                <w:bCs/>
                <w:color w:val="auto"/>
                <w:sz w:val="24"/>
                <w:szCs w:val="24"/>
                <w:highlight w:val="none"/>
              </w:rPr>
              <w:t>，供应商制定详细的应急预案方案，包括但不限于应急响应流程、应急处置方案、重大节日、活动期间应急保障措施等方面：</w:t>
            </w:r>
          </w:p>
          <w:p w14:paraId="04B6A485">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应急预案完整、合理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含应急演练计划+故障处置时限表的得5分；</w:t>
            </w:r>
          </w:p>
          <w:p w14:paraId="1F169639">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应急预案较完整、合理</w:t>
            </w:r>
            <w:r>
              <w:rPr>
                <w:rFonts w:hint="eastAsia" w:ascii="宋体" w:hAnsi="宋体" w:cs="宋体"/>
                <w:color w:val="auto"/>
                <w:sz w:val="24"/>
                <w:szCs w:val="24"/>
                <w:highlight w:val="none"/>
                <w:lang w:eastAsia="zh-CN"/>
              </w:rPr>
              <w:t>，无计划</w:t>
            </w:r>
            <w:r>
              <w:rPr>
                <w:rFonts w:hint="eastAsia" w:ascii="宋体" w:hAnsi="宋体" w:cs="宋体"/>
                <w:color w:val="auto"/>
                <w:sz w:val="24"/>
                <w:szCs w:val="24"/>
                <w:highlight w:val="none"/>
                <w:lang w:val="en-US" w:eastAsia="zh-CN"/>
              </w:rPr>
              <w:t>及处置时限</w:t>
            </w:r>
            <w:r>
              <w:rPr>
                <w:rFonts w:hint="eastAsia" w:ascii="宋体" w:hAnsi="宋体" w:cs="宋体"/>
                <w:color w:val="auto"/>
                <w:sz w:val="24"/>
                <w:szCs w:val="24"/>
                <w:highlight w:val="none"/>
                <w:lang w:eastAsia="zh-CN"/>
              </w:rPr>
              <w:t>表</w:t>
            </w:r>
            <w:r>
              <w:rPr>
                <w:rFonts w:hint="eastAsia" w:ascii="宋体" w:hAnsi="宋体" w:eastAsia="宋体" w:cs="宋体"/>
                <w:color w:val="auto"/>
                <w:sz w:val="24"/>
                <w:szCs w:val="24"/>
                <w:highlight w:val="none"/>
              </w:rPr>
              <w:t>的得3分；</w:t>
            </w:r>
          </w:p>
          <w:p w14:paraId="47DF32E4">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应急预案较差或者缺漏、不合理的得1分；</w:t>
            </w:r>
          </w:p>
          <w:p w14:paraId="09691529">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未提供不得分。</w:t>
            </w:r>
          </w:p>
        </w:tc>
      </w:tr>
      <w:tr w14:paraId="05356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000" w:type="pct"/>
            <w:gridSpan w:val="4"/>
            <w:noWrap/>
            <w:vAlign w:val="center"/>
          </w:tcPr>
          <w:p w14:paraId="7F256CBA">
            <w:pPr>
              <w:keepNext w:val="0"/>
              <w:keepLines w:val="0"/>
              <w:pageBreakBefore w:val="0"/>
              <w:widowControl w:val="0"/>
              <w:kinsoku/>
              <w:wordWrap/>
              <w:overflowPunct/>
              <w:topLinePunct w:val="0"/>
              <w:autoSpaceDE/>
              <w:autoSpaceDN/>
              <w:bidi w:val="0"/>
              <w:adjustRightInd/>
              <w:snapToGrid w:val="0"/>
              <w:spacing w:line="240" w:lineRule="auto"/>
              <w:ind w:firstLine="72" w:firstLineChars="30"/>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三、商务分（3</w:t>
            </w:r>
            <w:r>
              <w:rPr>
                <w:rFonts w:hint="eastAsia" w:ascii="宋体" w:hAnsi="宋体" w:cs="宋体"/>
                <w:b/>
                <w:color w:val="auto"/>
                <w:sz w:val="24"/>
                <w:szCs w:val="24"/>
                <w:highlight w:val="none"/>
                <w:lang w:val="en-US" w:eastAsia="zh-CN"/>
              </w:rPr>
              <w:t>0</w:t>
            </w:r>
            <w:r>
              <w:rPr>
                <w:rFonts w:hint="eastAsia" w:ascii="宋体" w:hAnsi="宋体" w:eastAsia="宋体" w:cs="宋体"/>
                <w:b/>
                <w:color w:val="auto"/>
                <w:sz w:val="24"/>
                <w:szCs w:val="24"/>
                <w:highlight w:val="none"/>
              </w:rPr>
              <w:t>分）</w:t>
            </w:r>
          </w:p>
        </w:tc>
      </w:tr>
      <w:tr w14:paraId="3EA80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jc w:val="center"/>
        </w:trPr>
        <w:tc>
          <w:tcPr>
            <w:tcW w:w="418" w:type="pct"/>
            <w:noWrap/>
            <w:vAlign w:val="center"/>
          </w:tcPr>
          <w:p w14:paraId="1785574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863" w:type="pct"/>
            <w:noWrap/>
            <w:vAlign w:val="center"/>
          </w:tcPr>
          <w:p w14:paraId="381D69B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公司实力</w:t>
            </w:r>
          </w:p>
        </w:tc>
        <w:tc>
          <w:tcPr>
            <w:tcW w:w="437" w:type="pct"/>
            <w:noWrap/>
            <w:vAlign w:val="center"/>
          </w:tcPr>
          <w:p w14:paraId="5856923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3280" w:type="pct"/>
            <w:noWrap/>
            <w:vAlign w:val="center"/>
          </w:tcPr>
          <w:p w14:paraId="09191144">
            <w:pPr>
              <w:keepNext w:val="0"/>
              <w:keepLines w:val="0"/>
              <w:pageBreakBefore w:val="0"/>
              <w:widowControl w:val="0"/>
              <w:kinsoku/>
              <w:wordWrap/>
              <w:overflowPunct/>
              <w:topLinePunct w:val="0"/>
              <w:autoSpaceDE/>
              <w:autoSpaceDN/>
              <w:bidi w:val="0"/>
              <w:adjustRightInd/>
              <w:snapToGrid w:val="0"/>
              <w:spacing w:line="240" w:lineRule="auto"/>
              <w:ind w:firstLine="72" w:firstLineChars="3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供应商具有</w:t>
            </w:r>
            <w:r>
              <w:rPr>
                <w:rFonts w:hint="eastAsia" w:ascii="宋体" w:hAnsi="宋体" w:eastAsia="宋体" w:cs="宋体"/>
                <w:color w:val="auto"/>
                <w:sz w:val="24"/>
                <w:szCs w:val="24"/>
                <w:highlight w:val="none"/>
                <w:lang w:eastAsia="zh-CN"/>
              </w:rPr>
              <w:t>有效期内的</w:t>
            </w:r>
            <w:r>
              <w:rPr>
                <w:rFonts w:hint="eastAsia" w:ascii="宋体" w:hAnsi="宋体" w:eastAsia="宋体" w:cs="宋体"/>
                <w:color w:val="auto"/>
                <w:sz w:val="24"/>
                <w:szCs w:val="24"/>
                <w:highlight w:val="none"/>
              </w:rPr>
              <w:t>信息安全管理体系认证的，得2分。</w:t>
            </w:r>
          </w:p>
          <w:p w14:paraId="5E3A1A4D">
            <w:pPr>
              <w:keepNext w:val="0"/>
              <w:keepLines w:val="0"/>
              <w:pageBreakBefore w:val="0"/>
              <w:widowControl w:val="0"/>
              <w:kinsoku/>
              <w:wordWrap/>
              <w:overflowPunct/>
              <w:topLinePunct w:val="0"/>
              <w:autoSpaceDE/>
              <w:autoSpaceDN/>
              <w:bidi w:val="0"/>
              <w:adjustRightInd/>
              <w:snapToGrid w:val="0"/>
              <w:spacing w:line="240" w:lineRule="auto"/>
              <w:ind w:firstLine="72" w:firstLineChars="3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供应商具有</w:t>
            </w:r>
            <w:r>
              <w:rPr>
                <w:rFonts w:hint="eastAsia" w:ascii="宋体" w:hAnsi="宋体" w:eastAsia="宋体" w:cs="宋体"/>
                <w:color w:val="auto"/>
                <w:sz w:val="24"/>
                <w:szCs w:val="24"/>
                <w:highlight w:val="none"/>
                <w:lang w:eastAsia="zh-CN"/>
              </w:rPr>
              <w:t>有效期内的</w:t>
            </w:r>
            <w:r>
              <w:rPr>
                <w:rFonts w:hint="eastAsia" w:ascii="宋体" w:hAnsi="宋体" w:eastAsia="宋体" w:cs="宋体"/>
                <w:color w:val="auto"/>
                <w:sz w:val="24"/>
                <w:szCs w:val="24"/>
                <w:highlight w:val="none"/>
              </w:rPr>
              <w:t>数据安全能力成熟度等级证书的，得2分。</w:t>
            </w:r>
          </w:p>
          <w:p w14:paraId="621F4E64">
            <w:pPr>
              <w:keepNext w:val="0"/>
              <w:keepLines w:val="0"/>
              <w:pageBreakBefore w:val="0"/>
              <w:widowControl w:val="0"/>
              <w:kinsoku/>
              <w:wordWrap/>
              <w:overflowPunct/>
              <w:topLinePunct w:val="0"/>
              <w:autoSpaceDE/>
              <w:autoSpaceDN/>
              <w:bidi w:val="0"/>
              <w:adjustRightInd/>
              <w:snapToGrid w:val="0"/>
              <w:spacing w:line="240" w:lineRule="auto"/>
              <w:ind w:firstLine="72" w:firstLineChars="3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供应商具有</w:t>
            </w:r>
            <w:r>
              <w:rPr>
                <w:rFonts w:hint="eastAsia" w:ascii="宋体" w:hAnsi="宋体" w:eastAsia="宋体" w:cs="宋体"/>
                <w:color w:val="auto"/>
                <w:sz w:val="24"/>
                <w:szCs w:val="24"/>
                <w:highlight w:val="none"/>
                <w:lang w:eastAsia="zh-CN"/>
              </w:rPr>
              <w:t>有效期内的</w:t>
            </w:r>
            <w:r>
              <w:rPr>
                <w:rFonts w:hint="eastAsia" w:ascii="宋体" w:hAnsi="宋体" w:eastAsia="宋体" w:cs="宋体"/>
                <w:color w:val="auto"/>
                <w:sz w:val="24"/>
                <w:szCs w:val="24"/>
                <w:highlight w:val="none"/>
              </w:rPr>
              <w:t>数据管理能力成熟度等级证书的，得2分。</w:t>
            </w:r>
          </w:p>
          <w:p w14:paraId="2BCAD085">
            <w:pPr>
              <w:keepNext w:val="0"/>
              <w:keepLines w:val="0"/>
              <w:pageBreakBefore w:val="0"/>
              <w:widowControl w:val="0"/>
              <w:kinsoku/>
              <w:wordWrap/>
              <w:overflowPunct/>
              <w:topLinePunct w:val="0"/>
              <w:autoSpaceDE/>
              <w:autoSpaceDN/>
              <w:bidi w:val="0"/>
              <w:adjustRightInd/>
              <w:snapToGrid w:val="0"/>
              <w:spacing w:line="240" w:lineRule="auto"/>
              <w:ind w:firstLine="72" w:firstLineChars="3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供应商具有</w:t>
            </w:r>
            <w:r>
              <w:rPr>
                <w:rFonts w:hint="eastAsia" w:ascii="宋体" w:hAnsi="宋体" w:eastAsia="宋体" w:cs="宋体"/>
                <w:color w:val="auto"/>
                <w:sz w:val="24"/>
                <w:szCs w:val="24"/>
                <w:highlight w:val="none"/>
                <w:lang w:eastAsia="zh-CN"/>
              </w:rPr>
              <w:t>有效期内的</w:t>
            </w:r>
            <w:r>
              <w:rPr>
                <w:rFonts w:hint="eastAsia" w:ascii="宋体" w:hAnsi="宋体" w:eastAsia="宋体" w:cs="宋体"/>
                <w:color w:val="auto"/>
                <w:sz w:val="24"/>
                <w:szCs w:val="24"/>
                <w:highlight w:val="none"/>
              </w:rPr>
              <w:t>信息安全服务资质认证证书（信息系统安全运维）的，得2分。</w:t>
            </w:r>
          </w:p>
          <w:p w14:paraId="00384157">
            <w:pPr>
              <w:pStyle w:val="44"/>
              <w:spacing w:line="240" w:lineRule="auto"/>
              <w:rPr>
                <w:rFonts w:hint="default" w:eastAsia="宋体"/>
                <w:b/>
                <w:bCs/>
                <w:color w:val="auto"/>
                <w:highlight w:val="none"/>
                <w:lang w:val="en-US" w:eastAsia="zh-CN"/>
              </w:rPr>
            </w:pPr>
            <w:r>
              <w:rPr>
                <w:rFonts w:hint="eastAsia" w:ascii="宋体" w:hAnsi="宋体" w:eastAsia="宋体" w:cs="宋体"/>
                <w:b/>
                <w:bCs/>
                <w:color w:val="auto"/>
                <w:sz w:val="24"/>
                <w:szCs w:val="24"/>
                <w:highlight w:val="none"/>
                <w:lang w:eastAsia="zh-CN"/>
              </w:rPr>
              <w:t>本项最高得</w:t>
            </w:r>
            <w:r>
              <w:rPr>
                <w:rFonts w:hint="eastAsia" w:ascii="宋体" w:hAnsi="宋体" w:eastAsia="宋体" w:cs="宋体"/>
                <w:b/>
                <w:bCs/>
                <w:color w:val="auto"/>
                <w:sz w:val="24"/>
                <w:szCs w:val="24"/>
                <w:highlight w:val="none"/>
                <w:lang w:val="en-US" w:eastAsia="zh-CN"/>
              </w:rPr>
              <w:t>8分。</w:t>
            </w:r>
          </w:p>
          <w:p w14:paraId="4F36C1BB">
            <w:pPr>
              <w:keepNext w:val="0"/>
              <w:keepLines w:val="0"/>
              <w:pageBreakBefore w:val="0"/>
              <w:widowControl w:val="0"/>
              <w:kinsoku/>
              <w:wordWrap/>
              <w:overflowPunct/>
              <w:topLinePunct w:val="0"/>
              <w:autoSpaceDE/>
              <w:autoSpaceDN/>
              <w:bidi w:val="0"/>
              <w:adjustRightInd/>
              <w:snapToGrid w:val="0"/>
              <w:spacing w:line="240" w:lineRule="auto"/>
              <w:ind w:firstLine="72" w:firstLineChars="3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注：</w:t>
            </w:r>
            <w:r>
              <w:rPr>
                <w:rFonts w:hint="eastAsia" w:ascii="宋体" w:hAnsi="宋体" w:eastAsia="宋体" w:cs="宋体"/>
                <w:b/>
                <w:bCs/>
                <w:color w:val="auto"/>
                <w:sz w:val="24"/>
                <w:szCs w:val="24"/>
                <w:highlight w:val="none"/>
              </w:rPr>
              <w:t>响应文件中应提供</w:t>
            </w:r>
            <w:r>
              <w:rPr>
                <w:rFonts w:hint="eastAsia" w:ascii="宋体" w:hAnsi="宋体" w:eastAsia="宋体" w:cs="宋体"/>
                <w:b/>
                <w:bCs/>
                <w:color w:val="auto"/>
                <w:sz w:val="24"/>
                <w:szCs w:val="24"/>
                <w:highlight w:val="none"/>
                <w:lang w:eastAsia="zh-CN"/>
              </w:rPr>
              <w:t>上述</w:t>
            </w:r>
            <w:r>
              <w:rPr>
                <w:rFonts w:hint="eastAsia" w:ascii="宋体" w:hAnsi="宋体" w:eastAsia="宋体" w:cs="宋体"/>
                <w:b/>
                <w:bCs/>
                <w:color w:val="auto"/>
                <w:sz w:val="24"/>
                <w:szCs w:val="24"/>
                <w:highlight w:val="none"/>
              </w:rPr>
              <w:t>相关认证证书扫描件加盖供应商公章，否则不得分。</w:t>
            </w:r>
          </w:p>
        </w:tc>
      </w:tr>
      <w:tr w14:paraId="5F1EE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jc w:val="center"/>
        </w:trPr>
        <w:tc>
          <w:tcPr>
            <w:tcW w:w="418" w:type="pct"/>
            <w:noWrap/>
            <w:vAlign w:val="center"/>
          </w:tcPr>
          <w:p w14:paraId="1BA5890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p>
        </w:tc>
        <w:tc>
          <w:tcPr>
            <w:tcW w:w="863" w:type="pct"/>
            <w:noWrap/>
            <w:vAlign w:val="center"/>
          </w:tcPr>
          <w:p w14:paraId="1A9233A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r>
              <w:rPr>
                <w:rFonts w:hint="eastAsia" w:ascii="宋体" w:hAnsi="宋体" w:cs="宋体"/>
                <w:color w:val="auto"/>
                <w:sz w:val="24"/>
                <w:szCs w:val="24"/>
                <w:highlight w:val="none"/>
                <w:lang w:val="en-US" w:eastAsia="zh-CN"/>
              </w:rPr>
              <w:t>组</w:t>
            </w:r>
            <w:r>
              <w:rPr>
                <w:rFonts w:hint="eastAsia" w:ascii="宋体" w:hAnsi="宋体" w:eastAsia="宋体" w:cs="宋体"/>
                <w:color w:val="auto"/>
                <w:sz w:val="24"/>
                <w:szCs w:val="24"/>
                <w:highlight w:val="none"/>
              </w:rPr>
              <w:t>成员资质与能力</w:t>
            </w:r>
          </w:p>
        </w:tc>
        <w:tc>
          <w:tcPr>
            <w:tcW w:w="437" w:type="pct"/>
            <w:noWrap/>
            <w:vAlign w:val="center"/>
          </w:tcPr>
          <w:p w14:paraId="0BD8C7F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3280" w:type="pct"/>
            <w:noWrap/>
            <w:vAlign w:val="center"/>
          </w:tcPr>
          <w:p w14:paraId="4E43DBEF">
            <w:pPr>
              <w:keepNext w:val="0"/>
              <w:keepLines w:val="0"/>
              <w:pageBreakBefore w:val="0"/>
              <w:widowControl w:val="0"/>
              <w:kinsoku/>
              <w:wordWrap/>
              <w:overflowPunct/>
              <w:topLinePunct w:val="0"/>
              <w:autoSpaceDE/>
              <w:autoSpaceDN/>
              <w:bidi w:val="0"/>
              <w:adjustRightInd/>
              <w:snapToGrid w:val="0"/>
              <w:spacing w:line="240" w:lineRule="auto"/>
              <w:ind w:firstLine="72" w:firstLineChars="3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1.拟</w:t>
            </w:r>
            <w:r>
              <w:rPr>
                <w:rFonts w:hint="eastAsia" w:ascii="宋体" w:hAnsi="宋体" w:eastAsia="宋体" w:cs="宋体"/>
                <w:b/>
                <w:bCs/>
                <w:color w:val="auto"/>
                <w:sz w:val="24"/>
                <w:szCs w:val="24"/>
                <w:highlight w:val="none"/>
              </w:rPr>
              <w:t>为本项目配备的项目</w:t>
            </w:r>
            <w:r>
              <w:rPr>
                <w:rFonts w:hint="eastAsia" w:ascii="宋体" w:hAnsi="宋体" w:cs="宋体"/>
                <w:b/>
                <w:bCs/>
                <w:color w:val="auto"/>
                <w:sz w:val="24"/>
                <w:szCs w:val="24"/>
                <w:highlight w:val="none"/>
                <w:lang w:eastAsia="zh-CN"/>
              </w:rPr>
              <w:t>负责人</w:t>
            </w:r>
            <w:r>
              <w:rPr>
                <w:rFonts w:hint="eastAsia" w:ascii="宋体" w:hAnsi="宋体" w:eastAsia="宋体" w:cs="宋体"/>
                <w:b/>
                <w:bCs/>
                <w:color w:val="auto"/>
                <w:sz w:val="24"/>
                <w:szCs w:val="24"/>
                <w:highlight w:val="none"/>
              </w:rPr>
              <w:t>：</w:t>
            </w:r>
          </w:p>
          <w:p w14:paraId="5012DB21">
            <w:pPr>
              <w:keepNext w:val="0"/>
              <w:keepLines w:val="0"/>
              <w:pageBreakBefore w:val="0"/>
              <w:widowControl w:val="0"/>
              <w:kinsoku/>
              <w:wordWrap/>
              <w:overflowPunct/>
              <w:topLinePunct w:val="0"/>
              <w:autoSpaceDE/>
              <w:autoSpaceDN/>
              <w:bidi w:val="0"/>
              <w:adjustRightInd/>
              <w:snapToGrid w:val="0"/>
              <w:spacing w:line="240" w:lineRule="auto"/>
              <w:ind w:firstLine="72" w:firstLineChars="3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w:t>
            </w:r>
            <w:r>
              <w:rPr>
                <w:rFonts w:hint="eastAsia" w:ascii="宋体" w:hAnsi="宋体" w:eastAsia="宋体" w:cs="宋体"/>
                <w:color w:val="auto"/>
                <w:sz w:val="24"/>
                <w:szCs w:val="24"/>
                <w:highlight w:val="none"/>
                <w:lang w:eastAsia="zh-CN"/>
              </w:rPr>
              <w:t>拟</w:t>
            </w:r>
            <w:r>
              <w:rPr>
                <w:rFonts w:hint="eastAsia" w:ascii="宋体" w:hAnsi="宋体" w:eastAsia="宋体" w:cs="宋体"/>
                <w:color w:val="auto"/>
                <w:sz w:val="24"/>
                <w:szCs w:val="24"/>
                <w:highlight w:val="none"/>
              </w:rPr>
              <w:t>为本项目配备的项目</w:t>
            </w:r>
            <w:r>
              <w:rPr>
                <w:rFonts w:hint="eastAsia" w:ascii="宋体" w:hAnsi="宋体" w:cs="宋体"/>
                <w:color w:val="auto"/>
                <w:sz w:val="24"/>
                <w:szCs w:val="24"/>
                <w:highlight w:val="none"/>
                <w:lang w:eastAsia="zh-CN"/>
              </w:rPr>
              <w:t>负责人</w:t>
            </w:r>
            <w:r>
              <w:rPr>
                <w:rFonts w:hint="eastAsia" w:ascii="宋体" w:hAnsi="宋体" w:eastAsia="宋体" w:cs="宋体"/>
                <w:color w:val="auto"/>
                <w:sz w:val="24"/>
                <w:szCs w:val="24"/>
                <w:highlight w:val="none"/>
              </w:rPr>
              <w:t>具有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"https://www.ruankao.org.cn/article/content/bkzn/03_01.html" \o "信息系统项目管理师" </w:instrText>
            </w:r>
            <w:r>
              <w:rPr>
                <w:rFonts w:hint="eastAsia" w:ascii="宋体" w:hAnsi="宋体" w:eastAsia="宋体" w:cs="宋体"/>
                <w:color w:val="auto"/>
                <w:sz w:val="24"/>
                <w:szCs w:val="24"/>
                <w:highlight w:val="none"/>
              </w:rPr>
              <w:fldChar w:fldCharType="separate"/>
            </w:r>
            <w:r>
              <w:rPr>
                <w:rFonts w:hint="default" w:ascii="宋体" w:hAnsi="宋体" w:eastAsia="宋体" w:cs="宋体"/>
                <w:color w:val="auto"/>
                <w:sz w:val="24"/>
                <w:szCs w:val="24"/>
                <w:highlight w:val="none"/>
              </w:rPr>
              <w:t>信息系统项目管理师</w:t>
            </w:r>
            <w:r>
              <w:rPr>
                <w:rFonts w:hint="default"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的，得2分。</w:t>
            </w:r>
          </w:p>
          <w:p w14:paraId="4FEBBB8E">
            <w:pPr>
              <w:keepNext w:val="0"/>
              <w:keepLines w:val="0"/>
              <w:pageBreakBefore w:val="0"/>
              <w:widowControl w:val="0"/>
              <w:kinsoku/>
              <w:wordWrap/>
              <w:overflowPunct/>
              <w:topLinePunct w:val="0"/>
              <w:autoSpaceDE/>
              <w:autoSpaceDN/>
              <w:bidi w:val="0"/>
              <w:adjustRightInd/>
              <w:snapToGrid w:val="0"/>
              <w:spacing w:line="240" w:lineRule="auto"/>
              <w:ind w:firstLine="72" w:firstLineChars="30"/>
              <w:jc w:val="both"/>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2.拟</w:t>
            </w:r>
            <w:r>
              <w:rPr>
                <w:rFonts w:hint="eastAsia" w:ascii="宋体" w:hAnsi="宋体" w:eastAsia="宋体" w:cs="宋体"/>
                <w:b/>
                <w:bCs/>
                <w:color w:val="auto"/>
                <w:sz w:val="24"/>
                <w:szCs w:val="24"/>
                <w:highlight w:val="none"/>
              </w:rPr>
              <w:t>为本项目配备的项目</w:t>
            </w:r>
            <w:r>
              <w:rPr>
                <w:rFonts w:hint="eastAsia" w:ascii="宋体" w:hAnsi="宋体" w:cs="宋体"/>
                <w:b/>
                <w:bCs/>
                <w:color w:val="auto"/>
                <w:sz w:val="24"/>
                <w:szCs w:val="24"/>
                <w:highlight w:val="none"/>
                <w:lang w:val="en-US" w:eastAsia="zh-CN"/>
              </w:rPr>
              <w:t>组</w:t>
            </w:r>
            <w:r>
              <w:rPr>
                <w:rFonts w:hint="eastAsia" w:ascii="宋体" w:hAnsi="宋体" w:eastAsia="宋体" w:cs="宋体"/>
                <w:b/>
                <w:bCs/>
                <w:color w:val="auto"/>
                <w:sz w:val="24"/>
                <w:szCs w:val="24"/>
                <w:highlight w:val="none"/>
              </w:rPr>
              <w:t>成员（项目</w:t>
            </w:r>
            <w:r>
              <w:rPr>
                <w:rFonts w:hint="eastAsia" w:ascii="宋体" w:hAnsi="宋体" w:cs="宋体"/>
                <w:b/>
                <w:bCs/>
                <w:color w:val="auto"/>
                <w:sz w:val="24"/>
                <w:szCs w:val="24"/>
                <w:highlight w:val="none"/>
                <w:lang w:eastAsia="zh-CN"/>
              </w:rPr>
              <w:t>负责人</w:t>
            </w:r>
            <w:r>
              <w:rPr>
                <w:rFonts w:hint="eastAsia" w:ascii="宋体" w:hAnsi="宋体" w:eastAsia="宋体" w:cs="宋体"/>
                <w:b/>
                <w:bCs/>
                <w:color w:val="auto"/>
                <w:sz w:val="24"/>
                <w:szCs w:val="24"/>
                <w:highlight w:val="none"/>
                <w:lang w:eastAsia="zh-CN"/>
              </w:rPr>
              <w:t>除</w:t>
            </w:r>
            <w:r>
              <w:rPr>
                <w:rFonts w:hint="eastAsia" w:ascii="宋体" w:hAnsi="宋体" w:cs="宋体"/>
                <w:b/>
                <w:bCs/>
                <w:color w:val="auto"/>
                <w:sz w:val="24"/>
                <w:szCs w:val="24"/>
                <w:highlight w:val="none"/>
                <w:lang w:val="en-US" w:eastAsia="zh-CN"/>
              </w:rPr>
              <w:t>外</w:t>
            </w:r>
            <w:r>
              <w:rPr>
                <w:rFonts w:hint="eastAsia" w:ascii="宋体" w:hAnsi="宋体" w:eastAsia="宋体" w:cs="宋体"/>
                <w:b/>
                <w:bCs/>
                <w:color w:val="auto"/>
                <w:sz w:val="24"/>
                <w:szCs w:val="24"/>
                <w:highlight w:val="none"/>
              </w:rPr>
              <w:t>）：</w:t>
            </w:r>
          </w:p>
          <w:p w14:paraId="580F064F">
            <w:pPr>
              <w:keepNext w:val="0"/>
              <w:keepLines w:val="0"/>
              <w:pageBreakBefore w:val="0"/>
              <w:widowControl w:val="0"/>
              <w:kinsoku/>
              <w:wordWrap/>
              <w:overflowPunct/>
              <w:topLinePunct w:val="0"/>
              <w:autoSpaceDE/>
              <w:autoSpaceDN/>
              <w:bidi w:val="0"/>
              <w:adjustRightInd/>
              <w:snapToGrid w:val="0"/>
              <w:spacing w:line="240" w:lineRule="auto"/>
              <w:ind w:firstLine="72" w:firstLineChars="3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）供应商</w:t>
            </w:r>
            <w:r>
              <w:rPr>
                <w:rFonts w:hint="eastAsia" w:ascii="宋体" w:hAnsi="宋体" w:eastAsia="宋体" w:cs="宋体"/>
                <w:b w:val="0"/>
                <w:bCs w:val="0"/>
                <w:color w:val="auto"/>
                <w:sz w:val="24"/>
                <w:szCs w:val="24"/>
                <w:highlight w:val="none"/>
                <w:lang w:eastAsia="zh-CN"/>
              </w:rPr>
              <w:t>拟</w:t>
            </w:r>
            <w:r>
              <w:rPr>
                <w:rFonts w:hint="eastAsia" w:ascii="宋体" w:hAnsi="宋体" w:eastAsia="宋体" w:cs="宋体"/>
                <w:b w:val="0"/>
                <w:bCs w:val="0"/>
                <w:color w:val="auto"/>
                <w:sz w:val="24"/>
                <w:szCs w:val="24"/>
                <w:highlight w:val="none"/>
              </w:rPr>
              <w:t>为本项目配备的项目</w:t>
            </w:r>
            <w:r>
              <w:rPr>
                <w:rFonts w:hint="eastAsia" w:ascii="宋体" w:hAnsi="宋体" w:cs="宋体"/>
                <w:b w:val="0"/>
                <w:bCs w:val="0"/>
                <w:color w:val="auto"/>
                <w:sz w:val="24"/>
                <w:szCs w:val="24"/>
                <w:highlight w:val="none"/>
                <w:lang w:val="en-US" w:eastAsia="zh-CN"/>
              </w:rPr>
              <w:t>组</w:t>
            </w:r>
            <w:r>
              <w:rPr>
                <w:rFonts w:hint="eastAsia" w:ascii="宋体" w:hAnsi="宋体" w:eastAsia="宋体" w:cs="宋体"/>
                <w:b w:val="0"/>
                <w:bCs w:val="0"/>
                <w:color w:val="auto"/>
                <w:sz w:val="24"/>
                <w:szCs w:val="24"/>
                <w:highlight w:val="none"/>
              </w:rPr>
              <w:t>成员具有网络与安全工程师</w:t>
            </w:r>
            <w:r>
              <w:rPr>
                <w:rFonts w:hint="eastAsia" w:ascii="宋体" w:hAnsi="宋体" w:eastAsia="宋体" w:cs="宋体"/>
                <w:b w:val="0"/>
                <w:bCs w:val="0"/>
                <w:color w:val="auto"/>
                <w:sz w:val="24"/>
                <w:szCs w:val="24"/>
                <w:highlight w:val="none"/>
                <w:lang w:eastAsia="zh-CN"/>
              </w:rPr>
              <w:t>、</w:t>
            </w:r>
            <w:r>
              <w:rPr>
                <w:rStyle w:val="39"/>
                <w:rFonts w:hint="eastAsia" w:ascii="宋体" w:hAnsi="宋体" w:eastAsia="宋体" w:cs="宋体"/>
                <w:b w:val="0"/>
                <w:bCs w:val="0"/>
                <w:i w:val="0"/>
                <w:iCs w:val="0"/>
                <w:caps w:val="0"/>
                <w:color w:val="0F1115"/>
                <w:spacing w:val="0"/>
                <w:sz w:val="24"/>
                <w:szCs w:val="24"/>
                <w:highlight w:val="none"/>
                <w:shd w:val="clear" w:fill="FFFFFF"/>
              </w:rPr>
              <w:t>数据库</w:t>
            </w:r>
            <w:r>
              <w:rPr>
                <w:rStyle w:val="39"/>
                <w:rFonts w:hint="eastAsia" w:ascii="宋体" w:hAnsi="宋体" w:eastAsia="宋体" w:cs="宋体"/>
                <w:b w:val="0"/>
                <w:bCs w:val="0"/>
                <w:i w:val="0"/>
                <w:iCs w:val="0"/>
                <w:caps w:val="0"/>
                <w:color w:val="0F1115"/>
                <w:spacing w:val="0"/>
                <w:sz w:val="24"/>
                <w:szCs w:val="24"/>
                <w:highlight w:val="none"/>
                <w:shd w:val="clear" w:fill="FFFFFF"/>
                <w:lang w:eastAsia="zh-CN"/>
              </w:rPr>
              <w:t>系统</w:t>
            </w:r>
            <w:r>
              <w:rPr>
                <w:rStyle w:val="39"/>
                <w:rFonts w:hint="eastAsia" w:ascii="宋体" w:hAnsi="宋体" w:eastAsia="宋体" w:cs="宋体"/>
                <w:b w:val="0"/>
                <w:bCs w:val="0"/>
                <w:i w:val="0"/>
                <w:iCs w:val="0"/>
                <w:caps w:val="0"/>
                <w:color w:val="0F1115"/>
                <w:spacing w:val="0"/>
                <w:sz w:val="24"/>
                <w:szCs w:val="24"/>
                <w:highlight w:val="none"/>
                <w:shd w:val="clear" w:fill="FFFFFF"/>
              </w:rPr>
              <w:t>工程师</w:t>
            </w:r>
            <w:r>
              <w:rPr>
                <w:rStyle w:val="39"/>
                <w:rFonts w:hint="eastAsia" w:ascii="宋体" w:hAnsi="宋体" w:eastAsia="宋体" w:cs="宋体"/>
                <w:b w:val="0"/>
                <w:bCs w:val="0"/>
                <w:i w:val="0"/>
                <w:iCs w:val="0"/>
                <w:caps w:val="0"/>
                <w:color w:val="0F1115"/>
                <w:spacing w:val="0"/>
                <w:sz w:val="24"/>
                <w:szCs w:val="24"/>
                <w:highlight w:val="none"/>
                <w:shd w:val="clear" w:fill="FFFFFF"/>
                <w:lang w:eastAsia="zh-CN"/>
              </w:rPr>
              <w:t>、</w:t>
            </w:r>
            <w:r>
              <w:rPr>
                <w:rFonts w:hint="eastAsia" w:ascii="宋体" w:hAnsi="宋体" w:eastAsia="宋体" w:cs="宋体"/>
                <w:b w:val="0"/>
                <w:bCs w:val="0"/>
                <w:color w:val="auto"/>
                <w:sz w:val="24"/>
                <w:szCs w:val="24"/>
                <w:highlight w:val="none"/>
                <w:lang w:eastAsia="zh-CN"/>
              </w:rPr>
              <w:t>系统集成项目管理工程师的</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有一个得</w:t>
            </w:r>
            <w:r>
              <w:rPr>
                <w:rFonts w:hint="eastAsia" w:ascii="宋体" w:hAnsi="宋体" w:eastAsia="宋体" w:cs="宋体"/>
                <w:b w:val="0"/>
                <w:bCs w:val="0"/>
                <w:color w:val="auto"/>
                <w:sz w:val="24"/>
                <w:szCs w:val="24"/>
                <w:highlight w:val="none"/>
                <w:lang w:val="en-US" w:eastAsia="zh-CN"/>
              </w:rPr>
              <w:t>2分，最高</w:t>
            </w:r>
            <w:r>
              <w:rPr>
                <w:rFonts w:hint="eastAsia" w:ascii="宋体" w:hAnsi="宋体" w:eastAsia="宋体" w:cs="宋体"/>
                <w:b w:val="0"/>
                <w:bCs w:val="0"/>
                <w:color w:val="auto"/>
                <w:sz w:val="24"/>
                <w:szCs w:val="24"/>
                <w:highlight w:val="none"/>
              </w:rPr>
              <w:t>得</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分。</w:t>
            </w:r>
          </w:p>
          <w:p w14:paraId="530ED98F">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注：响应文件中应提供上述人员相关证书证明及供应商为其缴纳的近</w:t>
            </w:r>
            <w:r>
              <w:rPr>
                <w:rFonts w:hint="eastAsia" w:ascii="宋体" w:hAnsi="宋体" w:eastAsia="宋体" w:cs="宋体"/>
                <w:b/>
                <w:bCs/>
                <w:color w:val="auto"/>
                <w:sz w:val="24"/>
                <w:szCs w:val="24"/>
                <w:highlight w:val="none"/>
                <w:lang w:eastAsia="zh-CN"/>
              </w:rPr>
              <w:t>三</w:t>
            </w:r>
            <w:r>
              <w:rPr>
                <w:rFonts w:hint="eastAsia" w:ascii="宋体" w:hAnsi="宋体" w:eastAsia="宋体" w:cs="宋体"/>
                <w:b/>
                <w:bCs/>
                <w:color w:val="auto"/>
                <w:sz w:val="24"/>
                <w:szCs w:val="24"/>
                <w:highlight w:val="none"/>
              </w:rPr>
              <w:t>个月</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2025年9月-11月）中任意</w:t>
            </w:r>
            <w:r>
              <w:rPr>
                <w:rFonts w:hint="eastAsia" w:ascii="宋体" w:hAnsi="宋体" w:eastAsia="宋体" w:cs="宋体"/>
                <w:b/>
                <w:bCs/>
                <w:color w:val="auto"/>
                <w:sz w:val="24"/>
                <w:szCs w:val="24"/>
                <w:highlight w:val="none"/>
              </w:rPr>
              <w:t>一个月的社保证明，未提供的不得分。</w:t>
            </w:r>
            <w:r>
              <w:rPr>
                <w:rFonts w:hint="eastAsia" w:ascii="宋体" w:hAnsi="宋体" w:eastAsia="宋体" w:cs="宋体"/>
                <w:b/>
                <w:bCs/>
                <w:color w:val="auto"/>
                <w:sz w:val="24"/>
                <w:szCs w:val="24"/>
                <w:highlight w:val="none"/>
                <w:lang w:eastAsia="zh-CN"/>
              </w:rPr>
              <w:t>项目成</w:t>
            </w:r>
            <w:r>
              <w:rPr>
                <w:rFonts w:hint="eastAsia" w:ascii="宋体" w:hAnsi="宋体" w:eastAsia="宋体" w:cs="宋体"/>
                <w:b/>
                <w:bCs/>
                <w:color w:val="auto"/>
                <w:sz w:val="24"/>
                <w:szCs w:val="24"/>
                <w:highlight w:val="none"/>
              </w:rPr>
              <w:t>员不重复得分。</w:t>
            </w:r>
          </w:p>
        </w:tc>
      </w:tr>
      <w:tr w14:paraId="56A53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18" w:type="pct"/>
            <w:noWrap/>
            <w:vAlign w:val="center"/>
          </w:tcPr>
          <w:p w14:paraId="521B284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w:t>
            </w:r>
          </w:p>
        </w:tc>
        <w:tc>
          <w:tcPr>
            <w:tcW w:w="863" w:type="pct"/>
            <w:noWrap/>
            <w:vAlign w:val="center"/>
          </w:tcPr>
          <w:p w14:paraId="4A4686D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业绩经验</w:t>
            </w:r>
          </w:p>
        </w:tc>
        <w:tc>
          <w:tcPr>
            <w:tcW w:w="437" w:type="pct"/>
            <w:noWrap/>
            <w:vAlign w:val="center"/>
          </w:tcPr>
          <w:p w14:paraId="4338A93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p>
        </w:tc>
        <w:tc>
          <w:tcPr>
            <w:tcW w:w="3280" w:type="pct"/>
            <w:noWrap/>
            <w:vAlign w:val="center"/>
          </w:tcPr>
          <w:p w14:paraId="5382B76B">
            <w:pPr>
              <w:keepNext w:val="0"/>
              <w:keepLines w:val="0"/>
              <w:pageBreakBefore w:val="0"/>
              <w:widowControl w:val="0"/>
              <w:kinsoku/>
              <w:wordWrap/>
              <w:overflowPunct/>
              <w:topLinePunct w:val="0"/>
              <w:autoSpaceDE/>
              <w:autoSpaceDN/>
              <w:bidi w:val="0"/>
              <w:adjustRightInd/>
              <w:snapToGrid w:val="0"/>
              <w:spacing w:line="240" w:lineRule="auto"/>
              <w:ind w:firstLine="72" w:firstLineChars="3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eastAsia="zh-CN"/>
              </w:rPr>
              <w:t>自</w:t>
            </w:r>
            <w:r>
              <w:rPr>
                <w:rFonts w:hint="eastAsia" w:ascii="宋体" w:hAnsi="宋体" w:eastAsia="宋体" w:cs="宋体"/>
                <w:color w:val="auto"/>
                <w:sz w:val="24"/>
                <w:szCs w:val="24"/>
                <w:highlight w:val="none"/>
                <w:lang w:val="en-US" w:eastAsia="zh-CN"/>
              </w:rPr>
              <w:t>2022年1月1日至本项目磋商公告发布之日止（以合同签订的时间为准），</w:t>
            </w:r>
            <w:r>
              <w:rPr>
                <w:rFonts w:hint="eastAsia" w:ascii="宋体" w:hAnsi="宋体" w:eastAsia="宋体" w:cs="宋体"/>
                <w:color w:val="auto"/>
                <w:sz w:val="24"/>
                <w:szCs w:val="24"/>
                <w:highlight w:val="none"/>
              </w:rPr>
              <w:t>承接过</w:t>
            </w:r>
            <w:r>
              <w:rPr>
                <w:rFonts w:hint="eastAsia" w:ascii="宋体" w:hAnsi="宋体" w:eastAsia="宋体" w:cs="宋体"/>
                <w:color w:val="auto"/>
                <w:sz w:val="24"/>
                <w:szCs w:val="24"/>
                <w:highlight w:val="none"/>
                <w:lang w:eastAsia="zh-CN"/>
              </w:rPr>
              <w:t>与本项目</w:t>
            </w:r>
            <w:r>
              <w:rPr>
                <w:rFonts w:hint="eastAsia" w:ascii="宋体" w:hAnsi="宋体" w:eastAsia="宋体" w:cs="宋体"/>
                <w:color w:val="auto"/>
                <w:sz w:val="24"/>
                <w:szCs w:val="24"/>
                <w:highlight w:val="none"/>
              </w:rPr>
              <w:t>类似</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如“区域卫生信息化平台运维、医疗系统运维服务项目）</w:t>
            </w:r>
            <w:r>
              <w:rPr>
                <w:rFonts w:hint="eastAsia" w:ascii="宋体" w:hAnsi="宋体" w:eastAsia="宋体" w:cs="宋体"/>
                <w:color w:val="auto"/>
                <w:sz w:val="24"/>
                <w:szCs w:val="24"/>
                <w:highlight w:val="none"/>
                <w:lang w:eastAsia="zh-CN"/>
              </w:rPr>
              <w:t>的系统运维服务</w:t>
            </w:r>
            <w:r>
              <w:rPr>
                <w:rFonts w:hint="eastAsia" w:ascii="宋体" w:hAnsi="宋体" w:eastAsia="宋体" w:cs="宋体"/>
                <w:color w:val="auto"/>
                <w:sz w:val="24"/>
                <w:szCs w:val="24"/>
                <w:highlight w:val="none"/>
              </w:rPr>
              <w:t>项目的，每提供1个得3分，本项最高得</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分，以提供证明材料为得分依据。</w:t>
            </w:r>
          </w:p>
          <w:p w14:paraId="527204D8">
            <w:pPr>
              <w:keepNext w:val="0"/>
              <w:keepLines w:val="0"/>
              <w:pageBreakBefore w:val="0"/>
              <w:widowControl w:val="0"/>
              <w:kinsoku/>
              <w:wordWrap/>
              <w:overflowPunct/>
              <w:topLinePunct w:val="0"/>
              <w:autoSpaceDE/>
              <w:autoSpaceDN/>
              <w:bidi w:val="0"/>
              <w:adjustRightInd/>
              <w:snapToGrid w:val="0"/>
              <w:spacing w:line="240" w:lineRule="auto"/>
              <w:ind w:firstLine="72" w:firstLineChars="3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r>
              <w:rPr>
                <w:rFonts w:hint="eastAsia" w:ascii="宋体" w:hAnsi="宋体" w:eastAsia="宋体" w:cs="宋体"/>
                <w:b/>
                <w:bCs/>
                <w:color w:val="auto"/>
                <w:sz w:val="24"/>
                <w:szCs w:val="24"/>
                <w:highlight w:val="none"/>
                <w:lang w:eastAsia="zh-CN"/>
              </w:rPr>
              <w:t>响应文件中提供完整有效的业绩证明材料并加盖供应商</w:t>
            </w:r>
            <w:r>
              <w:rPr>
                <w:rFonts w:hint="eastAsia" w:ascii="宋体" w:hAnsi="宋体" w:cs="宋体"/>
                <w:b/>
                <w:bCs/>
                <w:color w:val="auto"/>
                <w:sz w:val="24"/>
                <w:szCs w:val="24"/>
                <w:highlight w:val="none"/>
                <w:lang w:val="en-US" w:eastAsia="zh-CN"/>
              </w:rPr>
              <w:t>公章</w:t>
            </w:r>
            <w:r>
              <w:rPr>
                <w:rFonts w:hint="eastAsia" w:ascii="宋体" w:hAnsi="宋体" w:eastAsia="宋体" w:cs="宋体"/>
                <w:b/>
                <w:bCs/>
                <w:color w:val="auto"/>
                <w:sz w:val="24"/>
                <w:szCs w:val="24"/>
                <w:highlight w:val="none"/>
                <w:lang w:eastAsia="zh-CN"/>
              </w:rPr>
              <w:t>，未提供的不得分。</w:t>
            </w:r>
            <w:r>
              <w:rPr>
                <w:rFonts w:hint="eastAsia" w:ascii="宋体" w:hAnsi="宋体" w:eastAsia="宋体" w:cs="宋体"/>
                <w:b/>
                <w:bCs/>
                <w:color w:val="auto"/>
                <w:sz w:val="24"/>
                <w:szCs w:val="24"/>
                <w:highlight w:val="none"/>
              </w:rPr>
              <w:t>同一</w:t>
            </w:r>
            <w:r>
              <w:rPr>
                <w:rFonts w:hint="eastAsia" w:ascii="宋体" w:hAnsi="宋体" w:cs="宋体"/>
                <w:b/>
                <w:bCs/>
                <w:color w:val="auto"/>
                <w:sz w:val="24"/>
                <w:szCs w:val="24"/>
                <w:highlight w:val="none"/>
                <w:lang w:eastAsia="zh-CN"/>
              </w:rPr>
              <w:t>用户单位不重复计分</w:t>
            </w:r>
            <w:r>
              <w:rPr>
                <w:rFonts w:hint="eastAsia" w:ascii="宋体" w:hAnsi="宋体" w:eastAsia="宋体" w:cs="宋体"/>
                <w:b/>
                <w:bCs/>
                <w:color w:val="auto"/>
                <w:sz w:val="24"/>
                <w:szCs w:val="24"/>
                <w:highlight w:val="none"/>
              </w:rPr>
              <w:t>。</w:t>
            </w:r>
          </w:p>
        </w:tc>
      </w:tr>
      <w:tr w14:paraId="43DBB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18" w:type="pct"/>
            <w:noWrap/>
            <w:vAlign w:val="center"/>
          </w:tcPr>
          <w:p w14:paraId="1C70910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w:t>
            </w:r>
          </w:p>
        </w:tc>
        <w:tc>
          <w:tcPr>
            <w:tcW w:w="863" w:type="pct"/>
            <w:noWrap/>
            <w:vAlign w:val="center"/>
          </w:tcPr>
          <w:p w14:paraId="3A88A7F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服务能力承诺</w:t>
            </w:r>
          </w:p>
        </w:tc>
        <w:tc>
          <w:tcPr>
            <w:tcW w:w="437" w:type="pct"/>
            <w:noWrap/>
            <w:vAlign w:val="center"/>
          </w:tcPr>
          <w:p w14:paraId="471459F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3280" w:type="pct"/>
            <w:noWrap/>
            <w:vAlign w:val="center"/>
          </w:tcPr>
          <w:p w14:paraId="7B449DB5">
            <w:pPr>
              <w:keepNext w:val="0"/>
              <w:keepLines w:val="0"/>
              <w:pageBreakBefore w:val="0"/>
              <w:widowControl w:val="0"/>
              <w:kinsoku/>
              <w:wordWrap/>
              <w:overflowPunct/>
              <w:topLinePunct w:val="0"/>
              <w:autoSpaceDE/>
              <w:autoSpaceDN/>
              <w:bidi w:val="0"/>
              <w:adjustRightInd/>
              <w:snapToGrid w:val="0"/>
              <w:spacing w:line="240" w:lineRule="auto"/>
              <w:ind w:firstLine="72" w:firstLineChars="3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供应商提供运维服务承诺函</w:t>
            </w:r>
            <w:r>
              <w:rPr>
                <w:rFonts w:hint="eastAsia" w:ascii="宋体" w:hAnsi="宋体" w:eastAsia="宋体" w:cs="宋体"/>
                <w:b/>
                <w:bCs/>
                <w:color w:val="auto"/>
                <w:sz w:val="24"/>
                <w:szCs w:val="24"/>
                <w:highlight w:val="none"/>
                <w:lang w:eastAsia="zh-CN"/>
              </w:rPr>
              <w:t>：</w:t>
            </w:r>
          </w:p>
          <w:p w14:paraId="410EB2FC">
            <w:pPr>
              <w:keepNext w:val="0"/>
              <w:keepLines w:val="0"/>
              <w:pageBreakBefore w:val="0"/>
              <w:widowControl w:val="0"/>
              <w:kinsoku/>
              <w:wordWrap/>
              <w:overflowPunct/>
              <w:topLinePunct w:val="0"/>
              <w:autoSpaceDE/>
              <w:autoSpaceDN/>
              <w:bidi w:val="0"/>
              <w:adjustRightInd/>
              <w:snapToGrid w:val="0"/>
              <w:spacing w:line="240" w:lineRule="auto"/>
              <w:ind w:firstLine="72" w:firstLineChars="3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1.驻场实施服务人数</w:t>
            </w:r>
            <w:r>
              <w:rPr>
                <w:rFonts w:hint="eastAsia" w:ascii="宋体" w:hAnsi="宋体" w:cs="宋体"/>
                <w:color w:val="auto"/>
                <w:sz w:val="24"/>
                <w:szCs w:val="24"/>
                <w:highlight w:val="none"/>
                <w:lang w:val="en-US" w:eastAsia="zh-CN"/>
              </w:rPr>
              <w:t>在4</w:t>
            </w:r>
            <w:r>
              <w:rPr>
                <w:rFonts w:hint="eastAsia" w:ascii="宋体" w:hAnsi="宋体" w:eastAsia="宋体" w:cs="宋体"/>
                <w:color w:val="auto"/>
                <w:sz w:val="24"/>
                <w:szCs w:val="24"/>
                <w:highlight w:val="none"/>
                <w:lang w:val="en-US" w:eastAsia="zh-CN"/>
              </w:rPr>
              <w:t>人</w:t>
            </w:r>
            <w:r>
              <w:rPr>
                <w:rFonts w:hint="eastAsia" w:ascii="宋体" w:hAnsi="宋体" w:cs="宋体"/>
                <w:color w:val="auto"/>
                <w:sz w:val="24"/>
                <w:szCs w:val="24"/>
                <w:highlight w:val="none"/>
                <w:lang w:val="en-US" w:eastAsia="zh-CN"/>
              </w:rPr>
              <w:t>基础上，承诺每增加1人得1分</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最高得3分；</w:t>
            </w:r>
            <w:r>
              <w:rPr>
                <w:rFonts w:hint="eastAsia" w:ascii="宋体" w:hAnsi="宋体" w:eastAsia="宋体" w:cs="宋体"/>
                <w:color w:val="auto"/>
                <w:sz w:val="24"/>
                <w:szCs w:val="24"/>
                <w:highlight w:val="none"/>
                <w:lang w:val="en-US" w:eastAsia="zh-CN"/>
              </w:rPr>
              <w:t>且提供人员简历及驻场计划。</w:t>
            </w:r>
          </w:p>
          <w:p w14:paraId="07A73AF8">
            <w:pPr>
              <w:keepNext w:val="0"/>
              <w:keepLines w:val="0"/>
              <w:pageBreakBefore w:val="0"/>
              <w:widowControl w:val="0"/>
              <w:kinsoku/>
              <w:wordWrap/>
              <w:overflowPunct/>
              <w:topLinePunct w:val="0"/>
              <w:autoSpaceDE/>
              <w:autoSpaceDN/>
              <w:bidi w:val="0"/>
              <w:adjustRightInd/>
              <w:snapToGrid w:val="0"/>
              <w:spacing w:line="240" w:lineRule="auto"/>
              <w:ind w:firstLine="72" w:firstLineChars="3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2.服务故障响应及时性要求，对日间突发故障，要求半小时内响应，对于夜间突发故障，在12小时内响应，且提供故障响应流程表，承诺提供上述服务响应的得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分，未响应的得0分。</w:t>
            </w:r>
          </w:p>
          <w:p w14:paraId="56D52A42">
            <w:pPr>
              <w:keepNext w:val="0"/>
              <w:keepLines w:val="0"/>
              <w:pageBreakBefore w:val="0"/>
              <w:widowControl w:val="0"/>
              <w:kinsoku/>
              <w:wordWrap/>
              <w:overflowPunct/>
              <w:topLinePunct w:val="0"/>
              <w:autoSpaceDE/>
              <w:autoSpaceDN/>
              <w:bidi w:val="0"/>
              <w:adjustRightInd/>
              <w:snapToGrid w:val="0"/>
              <w:spacing w:line="240" w:lineRule="auto"/>
              <w:ind w:firstLine="72" w:firstLineChars="3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注：</w:t>
            </w:r>
            <w:r>
              <w:rPr>
                <w:rFonts w:hint="eastAsia" w:ascii="宋体" w:hAnsi="宋体" w:eastAsia="宋体" w:cs="宋体"/>
                <w:b/>
                <w:bCs/>
                <w:color w:val="auto"/>
                <w:sz w:val="24"/>
                <w:szCs w:val="24"/>
                <w:highlight w:val="none"/>
              </w:rPr>
              <w:t>响应文件中</w:t>
            </w:r>
            <w:r>
              <w:rPr>
                <w:rFonts w:hint="eastAsia" w:ascii="宋体" w:hAnsi="宋体" w:cs="宋体"/>
                <w:b/>
                <w:bCs/>
                <w:color w:val="auto"/>
                <w:sz w:val="24"/>
                <w:szCs w:val="24"/>
                <w:highlight w:val="none"/>
                <w:lang w:eastAsia="zh-CN"/>
              </w:rPr>
              <w:t>按上述评分要求</w:t>
            </w:r>
            <w:r>
              <w:rPr>
                <w:rFonts w:hint="eastAsia" w:ascii="宋体" w:hAnsi="宋体" w:eastAsia="宋体" w:cs="宋体"/>
                <w:b/>
                <w:bCs/>
                <w:color w:val="auto"/>
                <w:sz w:val="24"/>
                <w:szCs w:val="24"/>
                <w:highlight w:val="none"/>
              </w:rPr>
              <w:t>提供运维服务承诺</w:t>
            </w:r>
            <w:r>
              <w:rPr>
                <w:rFonts w:hint="eastAsia" w:ascii="宋体" w:hAnsi="宋体" w:cs="宋体"/>
                <w:b/>
                <w:bCs/>
                <w:color w:val="auto"/>
                <w:sz w:val="24"/>
                <w:szCs w:val="24"/>
                <w:highlight w:val="none"/>
                <w:lang w:eastAsia="zh-CN"/>
              </w:rPr>
              <w:t>函</w:t>
            </w:r>
            <w:r>
              <w:rPr>
                <w:rFonts w:hint="eastAsia" w:ascii="宋体" w:hAnsi="宋体" w:eastAsia="宋体" w:cs="宋体"/>
                <w:b/>
                <w:bCs/>
                <w:color w:val="auto"/>
                <w:sz w:val="24"/>
                <w:szCs w:val="24"/>
                <w:highlight w:val="none"/>
              </w:rPr>
              <w:t>并加盖供应商公章。</w:t>
            </w:r>
          </w:p>
        </w:tc>
      </w:tr>
      <w:tr w14:paraId="53D2E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281" w:type="pct"/>
            <w:gridSpan w:val="2"/>
            <w:noWrap/>
            <w:vAlign w:val="center"/>
          </w:tcPr>
          <w:p w14:paraId="573A309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合计</w:t>
            </w:r>
          </w:p>
        </w:tc>
        <w:tc>
          <w:tcPr>
            <w:tcW w:w="437" w:type="pct"/>
            <w:noWrap/>
            <w:vAlign w:val="center"/>
          </w:tcPr>
          <w:p w14:paraId="743EDFD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100</w:t>
            </w:r>
          </w:p>
        </w:tc>
        <w:tc>
          <w:tcPr>
            <w:tcW w:w="3280" w:type="pct"/>
            <w:noWrap/>
            <w:vAlign w:val="center"/>
          </w:tcPr>
          <w:p w14:paraId="02734759">
            <w:pPr>
              <w:keepNext w:val="0"/>
              <w:keepLines w:val="0"/>
              <w:pageBreakBefore w:val="0"/>
              <w:widowControl w:val="0"/>
              <w:kinsoku/>
              <w:wordWrap/>
              <w:overflowPunct/>
              <w:topLinePunct w:val="0"/>
              <w:autoSpaceDE/>
              <w:autoSpaceDN/>
              <w:bidi w:val="0"/>
              <w:adjustRightInd/>
              <w:snapToGrid w:val="0"/>
              <w:spacing w:line="240" w:lineRule="auto"/>
              <w:ind w:firstLine="480"/>
              <w:jc w:val="left"/>
              <w:textAlignment w:val="auto"/>
              <w:rPr>
                <w:rFonts w:hint="eastAsia" w:ascii="宋体" w:hAnsi="宋体" w:eastAsia="宋体" w:cs="宋体"/>
                <w:color w:val="auto"/>
                <w:sz w:val="24"/>
                <w:szCs w:val="24"/>
                <w:highlight w:val="none"/>
              </w:rPr>
            </w:pPr>
          </w:p>
        </w:tc>
      </w:tr>
    </w:tbl>
    <w:p w14:paraId="26895120">
      <w:pPr>
        <w:pStyle w:val="197"/>
      </w:pPr>
    </w:p>
    <w:p w14:paraId="1CDE5866">
      <w:pPr>
        <w:spacing w:line="440" w:lineRule="exact"/>
        <w:ind w:firstLine="482" w:firstLineChars="200"/>
        <w:jc w:val="left"/>
        <w:rPr>
          <w:rFonts w:hint="eastAsia" w:ascii="宋体" w:hAnsi="宋体"/>
          <w:b/>
          <w:bCs/>
          <w:color w:val="auto"/>
          <w:sz w:val="24"/>
          <w:highlight w:val="none"/>
        </w:rPr>
      </w:pPr>
    </w:p>
    <w:p w14:paraId="4388EEAA">
      <w:pPr>
        <w:spacing w:line="440" w:lineRule="exact"/>
        <w:ind w:firstLine="482" w:firstLineChars="200"/>
        <w:jc w:val="left"/>
        <w:rPr>
          <w:rFonts w:ascii="宋体" w:hAnsi="宋体"/>
          <w:color w:val="auto"/>
          <w:sz w:val="24"/>
          <w:highlight w:val="none"/>
        </w:rPr>
      </w:pPr>
      <w:r>
        <w:rPr>
          <w:rFonts w:hint="eastAsia" w:ascii="宋体" w:hAnsi="宋体"/>
          <w:b/>
          <w:bCs/>
          <w:color w:val="auto"/>
          <w:sz w:val="24"/>
          <w:highlight w:val="none"/>
        </w:rPr>
        <w:t>注：</w:t>
      </w:r>
      <w:r>
        <w:rPr>
          <w:rFonts w:hint="eastAsia" w:ascii="宋体" w:hAnsi="宋体"/>
          <w:color w:val="auto"/>
          <w:sz w:val="24"/>
          <w:highlight w:val="none"/>
        </w:rPr>
        <w:t>1.评分细则中要求提供的证明文件及资料等在响应文件中提供原件扫描件，并加盖供应商公章。</w:t>
      </w:r>
    </w:p>
    <w:p w14:paraId="6D065224">
      <w:pPr>
        <w:spacing w:line="440" w:lineRule="exact"/>
        <w:ind w:firstLine="480"/>
        <w:jc w:val="left"/>
        <w:rPr>
          <w:rFonts w:ascii="宋体" w:hAnsi="宋体"/>
          <w:color w:val="auto"/>
          <w:sz w:val="24"/>
          <w:highlight w:val="none"/>
        </w:rPr>
      </w:pPr>
      <w:r>
        <w:rPr>
          <w:rFonts w:hint="eastAsia" w:ascii="宋体" w:hAnsi="宋体"/>
          <w:color w:val="auto"/>
          <w:sz w:val="24"/>
          <w:highlight w:val="none"/>
        </w:rPr>
        <w:t>2．评审时，未能按以上要求提供相应证明（原件扫描件）的，不作为评审依据，不得分。</w:t>
      </w:r>
    </w:p>
    <w:p w14:paraId="7DAB9E69">
      <w:pPr>
        <w:spacing w:line="440" w:lineRule="exact"/>
        <w:ind w:firstLine="480"/>
        <w:jc w:val="left"/>
        <w:rPr>
          <w:rFonts w:ascii="宋体" w:hAnsi="宋体"/>
          <w:color w:val="auto"/>
          <w:sz w:val="24"/>
          <w:highlight w:val="none"/>
        </w:rPr>
      </w:pPr>
      <w:r>
        <w:rPr>
          <w:rFonts w:hint="eastAsia" w:ascii="宋体" w:hAnsi="宋体"/>
          <w:color w:val="auto"/>
          <w:sz w:val="24"/>
          <w:highlight w:val="none"/>
        </w:rPr>
        <w:t>3.便于评分，请供应商在偏离表中逐条列出技术参数证明材料所在页码。</w:t>
      </w:r>
    </w:p>
    <w:p w14:paraId="36BE971B">
      <w:pPr>
        <w:rPr>
          <w:b/>
          <w:color w:val="auto"/>
          <w:sz w:val="36"/>
          <w:szCs w:val="36"/>
          <w:highlight w:val="none"/>
        </w:rPr>
      </w:pPr>
      <w:r>
        <w:rPr>
          <w:b/>
          <w:color w:val="auto"/>
          <w:sz w:val="36"/>
          <w:szCs w:val="36"/>
          <w:highlight w:val="none"/>
        </w:rPr>
        <w:br w:type="page"/>
      </w:r>
    </w:p>
    <w:p w14:paraId="090CF020">
      <w:pPr>
        <w:numPr>
          <w:ilvl w:val="0"/>
          <w:numId w:val="0"/>
        </w:numPr>
        <w:spacing w:line="360" w:lineRule="auto"/>
        <w:jc w:val="center"/>
        <w:outlineLvl w:val="0"/>
        <w:rPr>
          <w:b/>
          <w:color w:val="auto"/>
          <w:sz w:val="36"/>
          <w:szCs w:val="36"/>
          <w:highlight w:val="none"/>
        </w:rPr>
      </w:pPr>
      <w:bookmarkStart w:id="675" w:name="_Toc28501"/>
      <w:r>
        <w:rPr>
          <w:rFonts w:hint="eastAsia" w:ascii="Times New Roman" w:hAnsi="Times New Roman" w:eastAsia="宋体" w:cs="Times New Roman"/>
          <w:b/>
          <w:color w:val="auto"/>
          <w:sz w:val="36"/>
          <w:szCs w:val="36"/>
          <w:lang w:val="en-US" w:eastAsia="zh-CN" w:bidi="ar-SA"/>
        </w:rPr>
        <w:t>第四章</w:t>
      </w:r>
      <w:r>
        <w:rPr>
          <w:rFonts w:hint="eastAsia" w:cs="Times New Roman"/>
          <w:b/>
          <w:color w:val="auto"/>
          <w:sz w:val="36"/>
          <w:szCs w:val="36"/>
          <w:lang w:val="en-US" w:eastAsia="zh-CN" w:bidi="ar-SA"/>
        </w:rPr>
        <w:t xml:space="preserve"> </w:t>
      </w:r>
      <w:r>
        <w:rPr>
          <w:rFonts w:hint="eastAsia" w:cs="Times New Roman"/>
          <w:b/>
          <w:color w:val="auto"/>
          <w:sz w:val="36"/>
          <w:szCs w:val="36"/>
          <w:highlight w:val="none"/>
          <w:lang w:val="en-US" w:eastAsia="zh-CN" w:bidi="ar-SA"/>
        </w:rPr>
        <w:t xml:space="preserve"> </w:t>
      </w:r>
      <w:r>
        <w:rPr>
          <w:b/>
          <w:color w:val="auto"/>
          <w:sz w:val="36"/>
          <w:szCs w:val="36"/>
          <w:highlight w:val="none"/>
        </w:rPr>
        <w:t>采购需求</w:t>
      </w:r>
      <w:bookmarkEnd w:id="675"/>
    </w:p>
    <w:p w14:paraId="2373B60A">
      <w:pPr>
        <w:pStyle w:val="56"/>
        <w:keepNext w:val="0"/>
        <w:keepLines w:val="0"/>
        <w:pageBreakBefore w:val="0"/>
        <w:numPr>
          <w:ilvl w:val="0"/>
          <w:numId w:val="0"/>
        </w:numPr>
        <w:kinsoku/>
        <w:wordWrap/>
        <w:overflowPunct/>
        <w:topLinePunct w:val="0"/>
        <w:autoSpaceDE/>
        <w:autoSpaceDN/>
        <w:bidi w:val="0"/>
        <w:snapToGrid/>
        <w:spacing w:line="360" w:lineRule="auto"/>
        <w:ind w:firstLine="482" w:firstLineChars="200"/>
        <w:contextualSpacing/>
        <w:jc w:val="both"/>
        <w:textAlignment w:val="auto"/>
        <w:rPr>
          <w:rFonts w:hint="eastAsia" w:ascii="宋体" w:hAnsi="宋体" w:eastAsia="宋体" w:cs="宋体"/>
          <w:b/>
          <w:bCs w:val="0"/>
          <w:color w:val="000000" w:themeColor="text1"/>
          <w:sz w:val="24"/>
          <w:szCs w:val="24"/>
          <w:highlight w:val="none"/>
          <w14:textFill>
            <w14:solidFill>
              <w14:schemeClr w14:val="tx1"/>
            </w14:solidFill>
          </w14:textFill>
        </w:rPr>
      </w:pPr>
      <w:bookmarkStart w:id="676" w:name="_Toc28236"/>
      <w:r>
        <w:rPr>
          <w:rFonts w:hint="eastAsia" w:ascii="宋体" w:hAnsi="宋体" w:eastAsia="宋体" w:cs="宋体"/>
          <w:b/>
          <w:bCs w:val="0"/>
          <w:color w:val="000000" w:themeColor="text1"/>
          <w:kern w:val="2"/>
          <w:sz w:val="24"/>
          <w:szCs w:val="24"/>
          <w:highlight w:val="none"/>
          <w:lang w:val="en-US" w:eastAsia="zh-CN" w:bidi="ar-SA"/>
          <w14:textFill>
            <w14:solidFill>
              <w14:schemeClr w14:val="tx1"/>
            </w14:solidFill>
          </w14:textFill>
        </w:rPr>
        <w:t>一、</w:t>
      </w:r>
      <w:r>
        <w:rPr>
          <w:rFonts w:hint="eastAsia" w:ascii="宋体" w:hAnsi="宋体" w:eastAsia="宋体" w:cs="宋体"/>
          <w:b/>
          <w:bCs w:val="0"/>
          <w:color w:val="000000" w:themeColor="text1"/>
          <w:sz w:val="24"/>
          <w:szCs w:val="24"/>
          <w:highlight w:val="none"/>
          <w14:textFill>
            <w14:solidFill>
              <w14:schemeClr w14:val="tx1"/>
            </w14:solidFill>
          </w14:textFill>
        </w:rPr>
        <w:t>采购标的</w:t>
      </w:r>
    </w:p>
    <w:p w14:paraId="325A9DF1">
      <w:pPr>
        <w:keepNext w:val="0"/>
        <w:keepLines w:val="0"/>
        <w:pageBreakBefore w:val="0"/>
        <w:kinsoku/>
        <w:wordWrap/>
        <w:overflowPunct/>
        <w:topLinePunct w:val="0"/>
        <w:autoSpaceDE/>
        <w:autoSpaceDN/>
        <w:bidi w:val="0"/>
        <w:snapToGrid/>
        <w:spacing w:line="360" w:lineRule="auto"/>
        <w:ind w:left="0" w:leftChars="0" w:firstLine="480" w:firstLineChars="200"/>
        <w:contextualSpacing/>
        <w:jc w:val="both"/>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项目名称：</w:t>
      </w:r>
      <w:r>
        <w:rPr>
          <w:rFonts w:hint="eastAsia" w:ascii="宋体" w:hAnsi="宋体" w:cs="宋体"/>
          <w:bCs/>
          <w:color w:val="000000" w:themeColor="text1"/>
          <w:sz w:val="24"/>
          <w:szCs w:val="24"/>
          <w:highlight w:val="none"/>
          <w:lang w:eastAsia="zh-CN"/>
          <w14:textFill>
            <w14:solidFill>
              <w14:schemeClr w14:val="tx1"/>
            </w14:solidFill>
          </w14:textFill>
        </w:rPr>
        <w:t>钟楼区区域卫生信息化运维服务</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p>
    <w:p w14:paraId="1EDBBAC1">
      <w:pPr>
        <w:pStyle w:val="56"/>
        <w:keepNext w:val="0"/>
        <w:keepLines w:val="0"/>
        <w:pageBreakBefore w:val="0"/>
        <w:numPr>
          <w:ilvl w:val="0"/>
          <w:numId w:val="0"/>
        </w:numPr>
        <w:kinsoku/>
        <w:wordWrap/>
        <w:overflowPunct/>
        <w:topLinePunct w:val="0"/>
        <w:autoSpaceDE/>
        <w:autoSpaceDN/>
        <w:bidi w:val="0"/>
        <w:snapToGrid/>
        <w:spacing w:line="360" w:lineRule="auto"/>
        <w:ind w:firstLine="480" w:firstLineChars="200"/>
        <w:contextualSpacing/>
        <w:jc w:val="both"/>
        <w:textAlignment w:val="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2.预算金额：人民</w:t>
      </w:r>
      <w:r>
        <w:rPr>
          <w:rFonts w:hint="eastAsia" w:ascii="宋体" w:hAnsi="宋体" w:cs="宋体"/>
          <w:bCs/>
          <w:color w:val="000000" w:themeColor="text1"/>
          <w:sz w:val="24"/>
          <w:szCs w:val="24"/>
          <w:highlight w:val="none"/>
          <w:lang w:eastAsia="zh-CN"/>
          <w14:textFill>
            <w14:solidFill>
              <w14:schemeClr w14:val="tx1"/>
            </w14:solidFill>
          </w14:textFill>
        </w:rPr>
        <w:t>币</w:t>
      </w:r>
      <w:r>
        <w:rPr>
          <w:rFonts w:hint="eastAsia" w:ascii="宋体" w:hAnsi="宋体" w:cs="宋体"/>
          <w:bCs/>
          <w:color w:val="000000" w:themeColor="text1"/>
          <w:sz w:val="24"/>
          <w:szCs w:val="24"/>
          <w:highlight w:val="none"/>
          <w:lang w:val="en-US" w:eastAsia="zh-CN"/>
          <w14:textFill>
            <w14:solidFill>
              <w14:schemeClr w14:val="tx1"/>
            </w14:solidFill>
          </w14:textFill>
        </w:rPr>
        <w:t>161.78万元</w:t>
      </w:r>
    </w:p>
    <w:p w14:paraId="0AE46CA7">
      <w:pPr>
        <w:pStyle w:val="56"/>
        <w:keepNext w:val="0"/>
        <w:keepLines w:val="0"/>
        <w:pageBreakBefore w:val="0"/>
        <w:numPr>
          <w:ilvl w:val="0"/>
          <w:numId w:val="0"/>
        </w:numPr>
        <w:kinsoku/>
        <w:wordWrap/>
        <w:overflowPunct/>
        <w:topLinePunct w:val="0"/>
        <w:autoSpaceDE/>
        <w:autoSpaceDN/>
        <w:bidi w:val="0"/>
        <w:snapToGrid/>
        <w:spacing w:line="360" w:lineRule="auto"/>
        <w:ind w:firstLine="480" w:firstLineChars="200"/>
        <w:contextualSpacing/>
        <w:jc w:val="both"/>
        <w:textAlignment w:val="auto"/>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3.最高限价：人民币</w:t>
      </w:r>
      <w:r>
        <w:rPr>
          <w:rFonts w:hint="eastAsia" w:ascii="宋体" w:hAnsi="宋体" w:cs="宋体"/>
          <w:bCs/>
          <w:color w:val="000000" w:themeColor="text1"/>
          <w:sz w:val="24"/>
          <w:szCs w:val="24"/>
          <w:highlight w:val="none"/>
          <w:lang w:val="en-US" w:eastAsia="zh-CN"/>
          <w14:textFill>
            <w14:solidFill>
              <w14:schemeClr w14:val="tx1"/>
            </w14:solidFill>
          </w14:textFill>
        </w:rPr>
        <w:t>161.78万元</w:t>
      </w:r>
    </w:p>
    <w:p w14:paraId="1480155A">
      <w:pPr>
        <w:pStyle w:val="56"/>
        <w:keepNext w:val="0"/>
        <w:keepLines w:val="0"/>
        <w:pageBreakBefore w:val="0"/>
        <w:numPr>
          <w:ilvl w:val="0"/>
          <w:numId w:val="0"/>
        </w:numPr>
        <w:kinsoku/>
        <w:wordWrap/>
        <w:overflowPunct/>
        <w:topLinePunct w:val="0"/>
        <w:autoSpaceDE/>
        <w:autoSpaceDN/>
        <w:bidi w:val="0"/>
        <w:snapToGrid/>
        <w:spacing w:line="360" w:lineRule="auto"/>
        <w:ind w:firstLine="480" w:firstLineChars="200"/>
        <w:contextualSpacing/>
        <w:jc w:val="both"/>
        <w:textAlignment w:val="auto"/>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4.采购项目概况（简介）：本项目为钟楼区区域卫生信息化运维服务，提供钟楼区区域卫生信息化项目运维，涵盖全区所有公办医疗卫生机构，内容包括但不限于信息系统运维服务、网信数据安全服务、云资源服务及业务需求服务等。</w:t>
      </w:r>
    </w:p>
    <w:p w14:paraId="2679AF75">
      <w:pPr>
        <w:pStyle w:val="56"/>
        <w:keepNext w:val="0"/>
        <w:keepLines w:val="0"/>
        <w:pageBreakBefore w:val="0"/>
        <w:numPr>
          <w:ilvl w:val="0"/>
          <w:numId w:val="0"/>
        </w:numPr>
        <w:kinsoku/>
        <w:wordWrap/>
        <w:overflowPunct/>
        <w:topLinePunct w:val="0"/>
        <w:autoSpaceDE/>
        <w:autoSpaceDN/>
        <w:bidi w:val="0"/>
        <w:snapToGrid/>
        <w:spacing w:line="360" w:lineRule="auto"/>
        <w:ind w:firstLine="480" w:firstLineChars="200"/>
        <w:contextualSpacing/>
        <w:jc w:val="both"/>
        <w:textAlignment w:val="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rPr>
        <w:t>5.合同履行期限：</w:t>
      </w:r>
      <w:r>
        <w:rPr>
          <w:rFonts w:hint="eastAsia" w:ascii="宋体" w:hAnsi="宋体" w:eastAsia="宋体" w:cs="宋体"/>
          <w:sz w:val="24"/>
          <w:szCs w:val="24"/>
          <w:highlight w:val="none"/>
          <w:lang w:eastAsia="zh-CN"/>
        </w:rPr>
        <w:t>自</w:t>
      </w:r>
      <w:r>
        <w:rPr>
          <w:rFonts w:hint="eastAsia" w:ascii="宋体" w:hAnsi="宋体" w:eastAsia="宋体" w:cs="宋体"/>
          <w:sz w:val="24"/>
          <w:szCs w:val="24"/>
          <w:highlight w:val="none"/>
          <w:lang w:val="en-US" w:eastAsia="zh-CN"/>
        </w:rPr>
        <w:t>2026年1月1日起至2026年12月31日止。</w:t>
      </w:r>
    </w:p>
    <w:p w14:paraId="5D90AA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6.是/否接受联合体投标：</w:t>
      </w:r>
      <w:r>
        <w:rPr>
          <w:rFonts w:hint="eastAsia" w:ascii="宋体" w:hAnsi="宋体" w:eastAsia="宋体" w:cs="宋体"/>
          <w:sz w:val="24"/>
          <w:szCs w:val="24"/>
          <w:highlight w:val="none"/>
          <w:lang w:eastAsia="zh-CN"/>
        </w:rPr>
        <w:t>否</w:t>
      </w:r>
    </w:p>
    <w:p w14:paraId="37B084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7.是/否接受分支机构参与响应：</w:t>
      </w:r>
      <w:r>
        <w:rPr>
          <w:rFonts w:hint="eastAsia" w:ascii="宋体" w:hAnsi="宋体" w:eastAsia="宋体" w:cs="宋体"/>
          <w:sz w:val="24"/>
          <w:szCs w:val="24"/>
          <w:highlight w:val="none"/>
          <w:lang w:eastAsia="zh-CN"/>
        </w:rPr>
        <w:t>否</w:t>
      </w:r>
    </w:p>
    <w:p w14:paraId="0353DF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8.是/否属于政府购买服务：是</w:t>
      </w:r>
    </w:p>
    <w:p w14:paraId="59318D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9.是/否接受进口产品投标：否</w:t>
      </w:r>
    </w:p>
    <w:p w14:paraId="538E6F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10. 是/否专门面向中小企业预留采购份额：</w:t>
      </w:r>
      <w:r>
        <w:rPr>
          <w:rFonts w:hint="eastAsia" w:ascii="宋体" w:hAnsi="宋体" w:eastAsia="宋体" w:cs="宋体"/>
          <w:sz w:val="24"/>
          <w:szCs w:val="24"/>
          <w:highlight w:val="none"/>
          <w:lang w:eastAsia="zh-CN"/>
        </w:rPr>
        <w:t>是</w:t>
      </w:r>
    </w:p>
    <w:p w14:paraId="25A60E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11.本项目的特定资格要求：</w:t>
      </w:r>
      <w:r>
        <w:rPr>
          <w:rFonts w:hint="eastAsia" w:ascii="宋体" w:hAnsi="宋体" w:eastAsia="宋体" w:cs="宋体"/>
          <w:sz w:val="24"/>
          <w:szCs w:val="24"/>
          <w:highlight w:val="none"/>
          <w:lang w:eastAsia="zh-CN"/>
        </w:rPr>
        <w:t>无。</w:t>
      </w:r>
    </w:p>
    <w:p w14:paraId="4F2991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12.项目类别：服务类</w:t>
      </w:r>
    </w:p>
    <w:p w14:paraId="0F1339E6">
      <w:pPr>
        <w:pStyle w:val="56"/>
        <w:keepNext w:val="0"/>
        <w:keepLines w:val="0"/>
        <w:pageBreakBefore w:val="0"/>
        <w:numPr>
          <w:ilvl w:val="0"/>
          <w:numId w:val="0"/>
        </w:numPr>
        <w:kinsoku/>
        <w:wordWrap/>
        <w:overflowPunct/>
        <w:topLinePunct w:val="0"/>
        <w:autoSpaceDE/>
        <w:autoSpaceDN/>
        <w:bidi w:val="0"/>
        <w:snapToGrid/>
        <w:spacing w:line="360" w:lineRule="auto"/>
        <w:ind w:firstLine="482" w:firstLineChars="200"/>
        <w:contextualSpacing/>
        <w:jc w:val="both"/>
        <w:textAlignment w:val="auto"/>
        <w:rPr>
          <w:rFonts w:hint="eastAsia" w:ascii="宋体" w:hAnsi="宋体" w:eastAsia="宋体" w:cs="宋体"/>
          <w:b/>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kern w:val="2"/>
          <w:sz w:val="24"/>
          <w:szCs w:val="24"/>
          <w:highlight w:val="none"/>
          <w:lang w:val="en-US" w:eastAsia="zh-CN" w:bidi="ar-SA"/>
          <w14:textFill>
            <w14:solidFill>
              <w14:schemeClr w14:val="tx1"/>
            </w14:solidFill>
          </w14:textFill>
        </w:rPr>
        <w:t>二、商务要求</w:t>
      </w:r>
    </w:p>
    <w:p w14:paraId="6C85E0E0">
      <w:pPr>
        <w:keepNext w:val="0"/>
        <w:keepLines w:val="0"/>
        <w:pageBreakBefore w:val="0"/>
        <w:kinsoku/>
        <w:wordWrap/>
        <w:overflowPunct/>
        <w:topLinePunct w:val="0"/>
        <w:autoSpaceDE/>
        <w:autoSpaceDN/>
        <w:bidi w:val="0"/>
        <w:snapToGrid/>
        <w:spacing w:line="360" w:lineRule="auto"/>
        <w:ind w:left="0" w:leftChars="0" w:firstLine="482" w:firstLineChars="200"/>
        <w:contextualSpacing/>
        <w:jc w:val="both"/>
        <w:textAlignment w:val="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实施的时间和地点</w:t>
      </w:r>
    </w:p>
    <w:p w14:paraId="5CACF0B5">
      <w:pPr>
        <w:pStyle w:val="247"/>
        <w:keepNext w:val="0"/>
        <w:keepLines w:val="0"/>
        <w:pageBreakBefore w:val="0"/>
        <w:kinsoku/>
        <w:wordWrap/>
        <w:overflowPunct/>
        <w:topLinePunct w:val="0"/>
        <w:autoSpaceDE/>
        <w:autoSpaceDN/>
        <w:bidi w:val="0"/>
        <w:snapToGrid/>
        <w:spacing w:before="0" w:beforeAutospacing="0" w:after="0" w:afterAutospacing="0" w:line="360" w:lineRule="auto"/>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服务时间</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cs="宋体"/>
          <w:color w:val="000000" w:themeColor="text1"/>
          <w:sz w:val="24"/>
          <w:szCs w:val="24"/>
          <w:highlight w:val="none"/>
          <w:lang w:val="en-US" w:eastAsia="zh-CN"/>
          <w14:textFill>
            <w14:solidFill>
              <w14:schemeClr w14:val="tx1"/>
            </w14:solidFill>
          </w14:textFill>
        </w:rPr>
        <w:t>自2026年1月1日起至2026年12月31日止</w:t>
      </w:r>
      <w:r>
        <w:rPr>
          <w:rFonts w:hint="eastAsia" w:ascii="宋体" w:hAnsi="宋体" w:eastAsia="宋体" w:cs="宋体"/>
          <w:color w:val="000000" w:themeColor="text1"/>
          <w:sz w:val="24"/>
          <w:szCs w:val="24"/>
          <w:highlight w:val="none"/>
          <w14:textFill>
            <w14:solidFill>
              <w14:schemeClr w14:val="tx1"/>
            </w14:solidFill>
          </w14:textFill>
        </w:rPr>
        <w:t>。</w:t>
      </w:r>
    </w:p>
    <w:p w14:paraId="77857A49">
      <w:pPr>
        <w:pStyle w:val="247"/>
        <w:keepNext w:val="0"/>
        <w:keepLines w:val="0"/>
        <w:pageBreakBefore w:val="0"/>
        <w:kinsoku/>
        <w:wordWrap/>
        <w:overflowPunct/>
        <w:topLinePunct w:val="0"/>
        <w:autoSpaceDE/>
        <w:autoSpaceDN/>
        <w:bidi w:val="0"/>
        <w:snapToGrid/>
        <w:spacing w:before="0" w:beforeAutospacing="0" w:after="0" w:afterAutospacing="0" w:line="360" w:lineRule="auto"/>
        <w:ind w:left="0" w:leftChars="0" w:firstLine="480" w:firstLineChars="200"/>
        <w:jc w:val="both"/>
        <w:textAlignment w:val="auto"/>
        <w:rPr>
          <w:rFonts w:hint="eastAsia" w:ascii="宋体" w:hAnsi="宋体" w:eastAsia="宋体" w:cs="宋体"/>
          <w:i/>
          <w:color w:val="auto"/>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服务地点：</w:t>
      </w:r>
      <w:r>
        <w:rPr>
          <w:rFonts w:hint="eastAsia" w:cs="宋体"/>
          <w:color w:val="000000" w:themeColor="text1"/>
          <w:sz w:val="24"/>
          <w:szCs w:val="24"/>
          <w:highlight w:val="none"/>
          <w:lang w:val="en-US" w:eastAsia="zh-CN"/>
          <w14:textFill>
            <w14:solidFill>
              <w14:schemeClr w14:val="tx1"/>
            </w14:solidFill>
          </w14:textFill>
        </w:rPr>
        <w:t>常州市钟楼区卫生健康局</w:t>
      </w:r>
      <w:r>
        <w:rPr>
          <w:rFonts w:hint="eastAsia" w:cs="宋体"/>
          <w:color w:val="auto"/>
          <w:sz w:val="24"/>
          <w:szCs w:val="24"/>
          <w:highlight w:val="none"/>
          <w:lang w:val="en-US" w:eastAsia="zh-CN"/>
        </w:rPr>
        <w:t>下属各基层医疗卫生机构</w:t>
      </w:r>
      <w:r>
        <w:rPr>
          <w:rFonts w:hint="eastAsia" w:asciiTheme="minorEastAsia" w:hAnsiTheme="minorEastAsia" w:eastAsiaTheme="minorEastAsia" w:cstheme="minorEastAsia"/>
          <w:sz w:val="24"/>
          <w:szCs w:val="24"/>
          <w:lang w:val="en-US" w:eastAsia="zh-CN"/>
        </w:rPr>
        <w:t>（含社区卫生服务站、村卫生室）</w:t>
      </w:r>
      <w:r>
        <w:rPr>
          <w:rFonts w:hint="eastAsia" w:cs="宋体"/>
          <w:color w:val="auto"/>
          <w:sz w:val="24"/>
          <w:szCs w:val="24"/>
          <w:highlight w:val="none"/>
          <w:lang w:val="en-US" w:eastAsia="zh-CN"/>
        </w:rPr>
        <w:t>。</w:t>
      </w:r>
    </w:p>
    <w:p w14:paraId="262DC634">
      <w:pPr>
        <w:keepNext w:val="0"/>
        <w:keepLines w:val="0"/>
        <w:pageBreakBefore w:val="0"/>
        <w:kinsoku/>
        <w:wordWrap/>
        <w:overflowPunct/>
        <w:topLinePunct w:val="0"/>
        <w:autoSpaceDE/>
        <w:autoSpaceDN/>
        <w:bidi w:val="0"/>
        <w:snapToGrid/>
        <w:spacing w:line="360" w:lineRule="auto"/>
        <w:ind w:left="0" w:leftChars="0" w:firstLine="482" w:firstLineChars="200"/>
        <w:contextualSpacing/>
        <w:jc w:val="both"/>
        <w:textAlignment w:val="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付款条件</w:t>
      </w:r>
    </w:p>
    <w:p w14:paraId="1A0B27D7">
      <w:pPr>
        <w:keepNext w:val="0"/>
        <w:keepLines w:val="0"/>
        <w:pageBreakBefore w:val="0"/>
        <w:kinsoku/>
        <w:wordWrap/>
        <w:overflowPunct/>
        <w:topLinePunct w:val="0"/>
        <w:autoSpaceDE/>
        <w:autoSpaceDN/>
        <w:bidi w:val="0"/>
        <w:snapToGrid/>
        <w:spacing w:line="360" w:lineRule="auto"/>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预付款支付时间：合同签订后</w:t>
      </w:r>
      <w:r>
        <w:rPr>
          <w:rFonts w:hint="eastAsia" w:ascii="宋体" w:hAnsi="宋体" w:cs="宋体"/>
          <w:color w:val="000000" w:themeColor="text1"/>
          <w:sz w:val="24"/>
          <w:szCs w:val="24"/>
          <w:highlight w:val="none"/>
          <w:lang w:val="en-US" w:eastAsia="zh-CN"/>
          <w14:textFill>
            <w14:solidFill>
              <w14:schemeClr w14:val="tx1"/>
            </w14:solidFill>
          </w14:textFill>
        </w:rPr>
        <w:t>60</w:t>
      </w:r>
      <w:r>
        <w:rPr>
          <w:rFonts w:hint="eastAsia" w:ascii="宋体" w:hAnsi="宋体" w:eastAsia="宋体" w:cs="宋体"/>
          <w:color w:val="000000" w:themeColor="text1"/>
          <w:sz w:val="24"/>
          <w:szCs w:val="24"/>
          <w:highlight w:val="none"/>
          <w14:textFill>
            <w14:solidFill>
              <w14:schemeClr w14:val="tx1"/>
            </w14:solidFill>
          </w14:textFill>
        </w:rPr>
        <w:t>日内，预付款支付比例：合同金额的50%。满足合同约定支付条件的，自收到发票后10个工作日内支付。</w:t>
      </w:r>
    </w:p>
    <w:p w14:paraId="4FD6B101">
      <w:pPr>
        <w:keepNext w:val="0"/>
        <w:keepLines w:val="0"/>
        <w:pageBreakBefore w:val="0"/>
        <w:kinsoku/>
        <w:wordWrap/>
        <w:overflowPunct/>
        <w:topLinePunct w:val="0"/>
        <w:autoSpaceDE/>
        <w:autoSpaceDN/>
        <w:bidi w:val="0"/>
        <w:snapToGrid/>
        <w:spacing w:line="360" w:lineRule="auto"/>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2.2026年12月</w:t>
      </w:r>
      <w:r>
        <w:rPr>
          <w:rFonts w:hint="eastAsia" w:ascii="宋体" w:hAnsi="宋体" w:eastAsia="宋体" w:cs="宋体"/>
          <w:color w:val="000000" w:themeColor="text1"/>
          <w:sz w:val="24"/>
          <w:szCs w:val="24"/>
          <w:highlight w:val="none"/>
          <w14:textFill>
            <w14:solidFill>
              <w14:schemeClr w14:val="tx1"/>
            </w14:solidFill>
          </w14:textFill>
        </w:rPr>
        <w:t>验收合格</w:t>
      </w:r>
      <w:r>
        <w:rPr>
          <w:rFonts w:hint="eastAsia" w:ascii="宋体" w:hAnsi="宋体" w:eastAsia="宋体" w:cs="宋体"/>
          <w:color w:val="000000" w:themeColor="text1"/>
          <w:sz w:val="24"/>
          <w:szCs w:val="24"/>
          <w:highlight w:val="none"/>
          <w:lang w:val="en-US" w:eastAsia="zh-CN"/>
          <w14:textFill>
            <w14:solidFill>
              <w14:schemeClr w14:val="tx1"/>
            </w14:solidFill>
          </w14:textFill>
        </w:rPr>
        <w:t>后</w:t>
      </w:r>
      <w:r>
        <w:rPr>
          <w:rFonts w:hint="eastAsia" w:ascii="宋体" w:hAnsi="宋体" w:eastAsia="宋体" w:cs="宋体"/>
          <w:color w:val="000000" w:themeColor="text1"/>
          <w:sz w:val="24"/>
          <w:szCs w:val="24"/>
          <w:highlight w:val="none"/>
          <w14:textFill>
            <w14:solidFill>
              <w14:schemeClr w14:val="tx1"/>
            </w14:solidFill>
          </w14:textFill>
        </w:rPr>
        <w:t>，支付合同金额的50%。满足合同约定支付条件的，自收到发票后10个工作日内支付。</w:t>
      </w:r>
    </w:p>
    <w:p w14:paraId="1000AF89">
      <w:pPr>
        <w:pStyle w:val="56"/>
        <w:keepNext w:val="0"/>
        <w:keepLines w:val="0"/>
        <w:pageBreakBefore w:val="0"/>
        <w:numPr>
          <w:ilvl w:val="0"/>
          <w:numId w:val="0"/>
        </w:numPr>
        <w:kinsoku/>
        <w:wordWrap/>
        <w:overflowPunct/>
        <w:topLinePunct w:val="0"/>
        <w:autoSpaceDE/>
        <w:autoSpaceDN/>
        <w:bidi w:val="0"/>
        <w:snapToGrid/>
        <w:spacing w:line="360" w:lineRule="auto"/>
        <w:ind w:firstLine="482" w:firstLineChars="200"/>
        <w:contextualSpacing/>
        <w:jc w:val="both"/>
        <w:textAlignment w:val="auto"/>
        <w:rPr>
          <w:rFonts w:hint="eastAsia" w:asciiTheme="minorEastAsia" w:hAnsiTheme="minorEastAsia" w:eastAsiaTheme="minorEastAsia" w:cstheme="minorEastAsia"/>
          <w:b/>
          <w:bCs w:val="0"/>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val="0"/>
          <w:color w:val="000000" w:themeColor="text1"/>
          <w:kern w:val="2"/>
          <w:sz w:val="24"/>
          <w:szCs w:val="24"/>
          <w:highlight w:val="none"/>
          <w:lang w:val="en-US" w:eastAsia="zh-CN" w:bidi="ar-SA"/>
          <w14:textFill>
            <w14:solidFill>
              <w14:schemeClr w14:val="tx1"/>
            </w14:solidFill>
          </w14:textFill>
        </w:rPr>
        <w:t>三、技术要求</w:t>
      </w:r>
    </w:p>
    <w:p w14:paraId="6A8266B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firstLine="482" w:firstLineChars="200"/>
        <w:textAlignment w:val="baseline"/>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bidi="ar-SA"/>
        </w:rPr>
        <w:t>（一）</w:t>
      </w:r>
      <w:r>
        <w:rPr>
          <w:rFonts w:hint="eastAsia" w:asciiTheme="minorEastAsia" w:hAnsiTheme="minorEastAsia" w:eastAsiaTheme="minorEastAsia" w:cstheme="minorEastAsia"/>
          <w:b/>
          <w:bCs/>
          <w:sz w:val="24"/>
          <w:szCs w:val="24"/>
          <w:lang w:val="en-US" w:eastAsia="zh-CN"/>
        </w:rPr>
        <w:t>运维需求：</w:t>
      </w:r>
    </w:p>
    <w:p w14:paraId="42E0E95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bidi="ar-SA"/>
        </w:rPr>
        <w:t>1.</w:t>
      </w:r>
      <w:r>
        <w:rPr>
          <w:rFonts w:hint="eastAsia" w:asciiTheme="minorEastAsia" w:hAnsiTheme="minorEastAsia" w:eastAsiaTheme="minorEastAsia" w:cstheme="minorEastAsia"/>
          <w:sz w:val="24"/>
          <w:szCs w:val="24"/>
          <w:lang w:val="en-US" w:eastAsia="zh-CN"/>
        </w:rPr>
        <w:t>人员需求：提供2名数据治理人员，现场驻点服务人员不少于4人；</w:t>
      </w:r>
    </w:p>
    <w:p w14:paraId="6BCB9FB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bidi="ar-SA"/>
        </w:rPr>
        <w:t>2.</w:t>
      </w:r>
      <w:r>
        <w:rPr>
          <w:rFonts w:hint="eastAsia" w:asciiTheme="minorEastAsia" w:hAnsiTheme="minorEastAsia" w:eastAsiaTheme="minorEastAsia" w:cstheme="minorEastAsia"/>
          <w:sz w:val="24"/>
          <w:szCs w:val="24"/>
          <w:lang w:val="en-US" w:eastAsia="zh-CN"/>
        </w:rPr>
        <w:t>驻点地址：钟楼区各基层医疗卫生机构；</w:t>
      </w:r>
    </w:p>
    <w:p w14:paraId="7AA96026">
      <w:pPr>
        <w:keepNext w:val="0"/>
        <w:keepLines w:val="0"/>
        <w:pageBreakBefore w:val="0"/>
        <w:numPr>
          <w:ilvl w:val="0"/>
          <w:numId w:val="0"/>
        </w:numPr>
        <w:tabs>
          <w:tab w:val="left" w:pos="3315"/>
        </w:tabs>
        <w:wordWrap/>
        <w:overflowPunct/>
        <w:topLinePunct w:val="0"/>
        <w:bidi w:val="0"/>
        <w:spacing w:line="360" w:lineRule="auto"/>
        <w:ind w:left="0" w:leftChars="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bidi="ar-SA"/>
        </w:rPr>
        <w:t>3.</w:t>
      </w:r>
      <w:r>
        <w:rPr>
          <w:rFonts w:hint="eastAsia" w:asciiTheme="minorEastAsia" w:hAnsiTheme="minorEastAsia" w:eastAsiaTheme="minorEastAsia" w:cstheme="minorEastAsia"/>
          <w:sz w:val="24"/>
          <w:szCs w:val="24"/>
          <w:lang w:val="en-US" w:eastAsia="zh-CN"/>
        </w:rPr>
        <w:t>维护单位：包括但不限于钟楼区卫健局及其下属医疗卫生机构（含社区卫生服务站、村卫生室）:</w:t>
      </w:r>
    </w:p>
    <w:p w14:paraId="364119D6">
      <w:pPr>
        <w:keepNext w:val="0"/>
        <w:keepLines w:val="0"/>
        <w:pageBreakBefore w:val="0"/>
        <w:numPr>
          <w:ilvl w:val="0"/>
          <w:numId w:val="0"/>
        </w:numPr>
        <w:tabs>
          <w:tab w:val="left" w:pos="3315"/>
        </w:tabs>
        <w:wordWrap/>
        <w:overflowPunct/>
        <w:topLinePunct w:val="0"/>
        <w:bidi w:val="0"/>
        <w:spacing w:line="360" w:lineRule="auto"/>
        <w:ind w:left="0" w:leftChars="0"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lang w:val="en-US" w:eastAsia="zh-CN" w:bidi="ar-SA"/>
        </w:rPr>
        <w:t>4.</w:t>
      </w:r>
      <w:r>
        <w:rPr>
          <w:rFonts w:hint="eastAsia" w:asciiTheme="minorEastAsia" w:hAnsiTheme="minorEastAsia" w:eastAsiaTheme="minorEastAsia" w:cstheme="minorEastAsia"/>
          <w:sz w:val="24"/>
          <w:szCs w:val="24"/>
          <w:highlight w:val="none"/>
          <w:lang w:val="en-US" w:eastAsia="zh-CN"/>
        </w:rPr>
        <w:t>系统模块：包括但不限于以下系统：</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1977"/>
        <w:gridCol w:w="2456"/>
        <w:gridCol w:w="4173"/>
      </w:tblGrid>
      <w:tr w14:paraId="1B790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1001" w:type="dxa"/>
            <w:vAlign w:val="center"/>
          </w:tcPr>
          <w:p w14:paraId="13E9ED1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序号</w:t>
            </w:r>
          </w:p>
        </w:tc>
        <w:tc>
          <w:tcPr>
            <w:tcW w:w="1977" w:type="dxa"/>
            <w:vAlign w:val="center"/>
          </w:tcPr>
          <w:p w14:paraId="5A29888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系统名称</w:t>
            </w:r>
          </w:p>
        </w:tc>
        <w:tc>
          <w:tcPr>
            <w:tcW w:w="2456" w:type="dxa"/>
            <w:vAlign w:val="center"/>
          </w:tcPr>
          <w:p w14:paraId="470EEE0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系统模块</w:t>
            </w:r>
          </w:p>
        </w:tc>
        <w:tc>
          <w:tcPr>
            <w:tcW w:w="4173" w:type="dxa"/>
            <w:vAlign w:val="center"/>
          </w:tcPr>
          <w:p w14:paraId="3B23C7D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子模块</w:t>
            </w:r>
          </w:p>
        </w:tc>
      </w:tr>
      <w:tr w14:paraId="15F86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restart"/>
            <w:vAlign w:val="center"/>
          </w:tcPr>
          <w:p w14:paraId="126CED9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1</w:t>
            </w:r>
          </w:p>
          <w:p w14:paraId="0F59BF9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restart"/>
            <w:vAlign w:val="center"/>
          </w:tcPr>
          <w:p w14:paraId="3659A76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基层业务信息系统</w:t>
            </w:r>
          </w:p>
        </w:tc>
        <w:tc>
          <w:tcPr>
            <w:tcW w:w="2456" w:type="dxa"/>
            <w:vMerge w:val="restart"/>
            <w:vAlign w:val="center"/>
          </w:tcPr>
          <w:p w14:paraId="675406F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基层业务信息系统</w:t>
            </w:r>
          </w:p>
          <w:p w14:paraId="0F60615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（16个子模块）</w:t>
            </w:r>
          </w:p>
        </w:tc>
        <w:tc>
          <w:tcPr>
            <w:tcW w:w="4173" w:type="dxa"/>
            <w:vAlign w:val="center"/>
          </w:tcPr>
          <w:p w14:paraId="4EDCE10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z w:val="21"/>
                <w:szCs w:val="21"/>
              </w:rPr>
              <w:t>挂号和预约</w:t>
            </w:r>
          </w:p>
        </w:tc>
      </w:tr>
      <w:tr w14:paraId="4F49C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5D89886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29FB004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44231E9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48D176B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z w:val="21"/>
                <w:szCs w:val="21"/>
              </w:rPr>
              <w:t>诊疗排班管理</w:t>
            </w:r>
          </w:p>
        </w:tc>
      </w:tr>
      <w:tr w14:paraId="54E45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2352366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761694C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10A2519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6265008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z w:val="21"/>
                <w:szCs w:val="21"/>
              </w:rPr>
              <w:t>门急诊收费管理</w:t>
            </w:r>
          </w:p>
        </w:tc>
      </w:tr>
      <w:tr w14:paraId="7A151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3DAD6AD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1504994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305F6E7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2F0E4EF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z w:val="21"/>
                <w:szCs w:val="21"/>
              </w:rPr>
              <w:t>出入院管理</w:t>
            </w:r>
          </w:p>
        </w:tc>
      </w:tr>
      <w:tr w14:paraId="2C258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1DB133B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6BA0C4E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2286730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0BB695C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z w:val="21"/>
                <w:szCs w:val="21"/>
              </w:rPr>
              <w:t>住院收费管理</w:t>
            </w:r>
          </w:p>
        </w:tc>
      </w:tr>
      <w:tr w14:paraId="4FE26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129BB34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773C351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279701C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7B0AC0E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z w:val="21"/>
                <w:szCs w:val="21"/>
              </w:rPr>
              <w:t>药品库房管理</w:t>
            </w:r>
          </w:p>
        </w:tc>
      </w:tr>
      <w:tr w14:paraId="3CDFE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0526538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0B8A70D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1FF9AE5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4ED214D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z w:val="21"/>
                <w:szCs w:val="21"/>
              </w:rPr>
              <w:t>门诊药房管理</w:t>
            </w:r>
          </w:p>
        </w:tc>
      </w:tr>
      <w:tr w14:paraId="7573C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1809CB7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1319628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56E2D51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208A920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z w:val="21"/>
                <w:szCs w:val="21"/>
              </w:rPr>
              <w:t>住院药房管理</w:t>
            </w:r>
          </w:p>
        </w:tc>
      </w:tr>
      <w:tr w14:paraId="39482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34638D0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2F354AE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5153130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305D910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z w:val="21"/>
                <w:szCs w:val="21"/>
              </w:rPr>
              <w:t>门诊医生工作站</w:t>
            </w:r>
          </w:p>
        </w:tc>
      </w:tr>
      <w:tr w14:paraId="35E9B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0C242D7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1D8F56D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01F218C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3175EAA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z w:val="21"/>
                <w:szCs w:val="21"/>
              </w:rPr>
              <w:t>住院医生工作站</w:t>
            </w:r>
          </w:p>
        </w:tc>
      </w:tr>
      <w:tr w14:paraId="65526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6A0882D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17D3548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560AD90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2A6C620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z w:val="21"/>
                <w:szCs w:val="21"/>
              </w:rPr>
              <w:t>住院护士工作站</w:t>
            </w:r>
          </w:p>
        </w:tc>
      </w:tr>
      <w:tr w14:paraId="4B22D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1C135BF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34589A4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260EB06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13585E0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z w:val="21"/>
                <w:szCs w:val="21"/>
              </w:rPr>
              <w:t>门诊医技执行</w:t>
            </w:r>
          </w:p>
        </w:tc>
      </w:tr>
      <w:tr w14:paraId="682FD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5257164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0978692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1D16517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5F1F026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z w:val="21"/>
                <w:szCs w:val="21"/>
              </w:rPr>
              <w:t>住院医技执行</w:t>
            </w:r>
          </w:p>
        </w:tc>
      </w:tr>
      <w:tr w14:paraId="5DE72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0223BF3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1D07E66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4FAD5F8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2D196A2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z w:val="21"/>
                <w:szCs w:val="21"/>
              </w:rPr>
              <w:t>手术管理</w:t>
            </w:r>
          </w:p>
        </w:tc>
      </w:tr>
      <w:tr w14:paraId="4F61E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30553D3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01EFC45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69E5B3F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255DC93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z w:val="21"/>
                <w:szCs w:val="21"/>
              </w:rPr>
              <w:t>基础维护</w:t>
            </w:r>
          </w:p>
        </w:tc>
      </w:tr>
      <w:tr w14:paraId="5B60E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7DD9652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7FDC6DD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54B03C9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530213B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z w:val="21"/>
                <w:szCs w:val="21"/>
              </w:rPr>
              <w:t>医保接口</w:t>
            </w:r>
          </w:p>
        </w:tc>
      </w:tr>
      <w:tr w14:paraId="36522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66B3DDA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3DC8989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04D2D1D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62D76B4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APP/</w:t>
            </w:r>
            <w:r>
              <w:rPr>
                <w:rFonts w:hint="eastAsia" w:asciiTheme="minorEastAsia" w:hAnsiTheme="minorEastAsia" w:eastAsiaTheme="minorEastAsia" w:cstheme="minorEastAsia"/>
                <w:sz w:val="21"/>
                <w:szCs w:val="21"/>
                <w:lang w:val="en-US" w:eastAsia="zh-CN"/>
              </w:rPr>
              <w:t>一</w:t>
            </w:r>
            <w:r>
              <w:rPr>
                <w:rFonts w:hint="eastAsia" w:asciiTheme="minorEastAsia" w:hAnsiTheme="minorEastAsia" w:eastAsiaTheme="minorEastAsia" w:cstheme="minorEastAsia"/>
                <w:sz w:val="21"/>
                <w:szCs w:val="21"/>
              </w:rPr>
              <w:t>卡通对账</w:t>
            </w:r>
          </w:p>
        </w:tc>
      </w:tr>
      <w:tr w14:paraId="0F982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687D56C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6B5135D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57F6DBB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72BB487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门诊护士站</w:t>
            </w:r>
          </w:p>
        </w:tc>
      </w:tr>
      <w:tr w14:paraId="787FC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50F0A6C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52F8BCF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restart"/>
            <w:vAlign w:val="center"/>
          </w:tcPr>
          <w:p w14:paraId="4F17B53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电子病历系统</w:t>
            </w:r>
          </w:p>
          <w:p w14:paraId="2D087E8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（14个子模块）</w:t>
            </w:r>
          </w:p>
        </w:tc>
        <w:tc>
          <w:tcPr>
            <w:tcW w:w="4173" w:type="dxa"/>
            <w:vAlign w:val="center"/>
          </w:tcPr>
          <w:p w14:paraId="7EA01C4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住院患者列表</w:t>
            </w:r>
          </w:p>
        </w:tc>
      </w:tr>
      <w:tr w14:paraId="69E4C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7F2DF1D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41EE3B7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7D5DF1C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12DD194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病历书写</w:t>
            </w:r>
          </w:p>
        </w:tc>
      </w:tr>
      <w:tr w14:paraId="0E248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5528151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285ED39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6087100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33A94AC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新建文档</w:t>
            </w:r>
          </w:p>
        </w:tc>
      </w:tr>
      <w:tr w14:paraId="25024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073994B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0CA5795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43788D6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2AA101E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文档编辑</w:t>
            </w:r>
          </w:p>
        </w:tc>
      </w:tr>
      <w:tr w14:paraId="5A2F6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278AC33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20A31A6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0E762BF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2EE9337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打印</w:t>
            </w:r>
          </w:p>
        </w:tc>
      </w:tr>
      <w:tr w14:paraId="3BFDA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16A8104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1C1DF29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18A754D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18F0FE5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插入图片</w:t>
            </w:r>
          </w:p>
        </w:tc>
      </w:tr>
      <w:tr w14:paraId="5D767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520C3FD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70A4646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195D3E2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4AD14C4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病历复制</w:t>
            </w:r>
          </w:p>
        </w:tc>
      </w:tr>
      <w:tr w14:paraId="24D03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3C64151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08720A9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0D51014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3C38557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插入病程</w:t>
            </w:r>
          </w:p>
        </w:tc>
      </w:tr>
      <w:tr w14:paraId="07BA7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28BEB7F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618D690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064B6D7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0E79D7D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模板设计</w:t>
            </w:r>
          </w:p>
        </w:tc>
      </w:tr>
      <w:tr w14:paraId="5E0D6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735F1AD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4FFD587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044B61A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690ECB7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病历自检</w:t>
            </w:r>
          </w:p>
        </w:tc>
      </w:tr>
      <w:tr w14:paraId="2F086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5E7E47B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39B5CDE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374DC96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15FCD6F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科室环节质控</w:t>
            </w:r>
          </w:p>
        </w:tc>
      </w:tr>
      <w:tr w14:paraId="10B7F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7049220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3D81C2D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1C275E4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11A6514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终末质控任务</w:t>
            </w:r>
          </w:p>
        </w:tc>
      </w:tr>
      <w:tr w14:paraId="4C587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32CAC81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33F3575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1BA01F8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332CCC4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进行终末质控</w:t>
            </w:r>
          </w:p>
        </w:tc>
      </w:tr>
      <w:tr w14:paraId="15EAA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3E995AE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1EB2258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6759AB0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47EC015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质控报表</w:t>
            </w:r>
          </w:p>
        </w:tc>
      </w:tr>
      <w:tr w14:paraId="108D4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1001" w:type="dxa"/>
            <w:vMerge w:val="continue"/>
            <w:vAlign w:val="center"/>
          </w:tcPr>
          <w:p w14:paraId="638D856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78BF560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restart"/>
            <w:vAlign w:val="center"/>
          </w:tcPr>
          <w:p w14:paraId="77BD6A5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基层公共卫生管理</w:t>
            </w:r>
          </w:p>
          <w:p w14:paraId="0DBD644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系统</w:t>
            </w:r>
          </w:p>
          <w:p w14:paraId="7555EA2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（9个子模块）</w:t>
            </w:r>
          </w:p>
        </w:tc>
        <w:tc>
          <w:tcPr>
            <w:tcW w:w="4173" w:type="dxa"/>
            <w:vAlign w:val="center"/>
          </w:tcPr>
          <w:p w14:paraId="148221A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公共卫生首页</w:t>
            </w:r>
          </w:p>
        </w:tc>
      </w:tr>
      <w:tr w14:paraId="782FB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696D3E2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0F9EF1A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0E110C1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5D34B31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居民健康档案管理</w:t>
            </w:r>
          </w:p>
        </w:tc>
      </w:tr>
      <w:tr w14:paraId="32748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4CDBCA0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3C94DB7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1984F55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10A9AA2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家庭档案管理</w:t>
            </w:r>
          </w:p>
        </w:tc>
      </w:tr>
      <w:tr w14:paraId="4D614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66AAEA6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34DDCC9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2AB9CAA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330497D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高血压管理</w:t>
            </w:r>
          </w:p>
        </w:tc>
      </w:tr>
      <w:tr w14:paraId="161C2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0E505C9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2431D4E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30E8DD7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2B77345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糖尿病管理</w:t>
            </w:r>
          </w:p>
        </w:tc>
      </w:tr>
      <w:tr w14:paraId="60149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6182471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37045A4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0953D73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54C2024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严重精神障碍患者管理</w:t>
            </w:r>
          </w:p>
        </w:tc>
      </w:tr>
      <w:tr w14:paraId="546C6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52E1B03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7253EF7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7F11185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7F9EBD8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老年人中医药健康管理</w:t>
            </w:r>
          </w:p>
        </w:tc>
      </w:tr>
      <w:tr w14:paraId="70E62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5366B63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5986C84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4E7B4C4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02B3250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传染病管理</w:t>
            </w:r>
          </w:p>
        </w:tc>
      </w:tr>
      <w:tr w14:paraId="740E9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379286F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0DAC95D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08B2E40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0E00C24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慢病高危人群管理</w:t>
            </w:r>
          </w:p>
        </w:tc>
      </w:tr>
      <w:tr w14:paraId="3517F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0B9D5EA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47433CA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restart"/>
            <w:vAlign w:val="center"/>
          </w:tcPr>
          <w:p w14:paraId="58EE58A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体检管理系统</w:t>
            </w:r>
          </w:p>
          <w:p w14:paraId="3C62EA8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（6个子模块）</w:t>
            </w:r>
          </w:p>
        </w:tc>
        <w:tc>
          <w:tcPr>
            <w:tcW w:w="4173" w:type="dxa"/>
            <w:vAlign w:val="center"/>
          </w:tcPr>
          <w:p w14:paraId="4EBD939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体检预约</w:t>
            </w:r>
          </w:p>
        </w:tc>
      </w:tr>
      <w:tr w14:paraId="2CB9B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2208EB4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329EAF1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27774FF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3C85DEC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体检登记</w:t>
            </w:r>
          </w:p>
        </w:tc>
      </w:tr>
      <w:tr w14:paraId="6090B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1CB0DD3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7C53FF2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2B18728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68F420B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医生处理</w:t>
            </w:r>
          </w:p>
        </w:tc>
      </w:tr>
      <w:tr w14:paraId="5200C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697C03E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72C433A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2F01CAD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02DF907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总检处理</w:t>
            </w:r>
          </w:p>
        </w:tc>
      </w:tr>
      <w:tr w14:paraId="2259B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42AC251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379D820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7BD8D53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3666C7C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体检报告</w:t>
            </w:r>
          </w:p>
        </w:tc>
      </w:tr>
      <w:tr w14:paraId="66955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2C65250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0C95ABC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577A985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7927D8D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体检基础配置</w:t>
            </w:r>
          </w:p>
        </w:tc>
      </w:tr>
      <w:tr w14:paraId="59DEE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011E4B9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4B3055D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restart"/>
            <w:vAlign w:val="center"/>
          </w:tcPr>
          <w:p w14:paraId="3D92EAF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家庭医生签约管理</w:t>
            </w:r>
          </w:p>
          <w:p w14:paraId="55C587B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（4个子模块）</w:t>
            </w:r>
          </w:p>
        </w:tc>
        <w:tc>
          <w:tcPr>
            <w:tcW w:w="4173" w:type="dxa"/>
            <w:vAlign w:val="center"/>
          </w:tcPr>
          <w:p w14:paraId="04A5409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家庭医生管理</w:t>
            </w:r>
          </w:p>
        </w:tc>
      </w:tr>
      <w:tr w14:paraId="53224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05ED594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4CB1939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50E5972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0DF6BB9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签约居民管理</w:t>
            </w:r>
          </w:p>
        </w:tc>
      </w:tr>
      <w:tr w14:paraId="136E7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2F3BE9E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713F0DC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0AC8602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7F89566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签约服务管理</w:t>
            </w:r>
          </w:p>
        </w:tc>
      </w:tr>
      <w:tr w14:paraId="04DA6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51DD064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36DB25F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0F2E56B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36EC501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签约服务包管理</w:t>
            </w:r>
          </w:p>
        </w:tc>
      </w:tr>
      <w:tr w14:paraId="7AF99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7C3A71A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4F392AF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restart"/>
            <w:vAlign w:val="center"/>
          </w:tcPr>
          <w:p w14:paraId="41F1BFD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分诊叫号系统</w:t>
            </w:r>
          </w:p>
          <w:p w14:paraId="2B84FFC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（4个子模块）</w:t>
            </w:r>
          </w:p>
        </w:tc>
        <w:tc>
          <w:tcPr>
            <w:tcW w:w="4173" w:type="dxa"/>
            <w:vAlign w:val="center"/>
          </w:tcPr>
          <w:p w14:paraId="426C9C9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智能分诊服务平台</w:t>
            </w:r>
          </w:p>
        </w:tc>
      </w:tr>
      <w:tr w14:paraId="47F46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1235F4D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1875E0A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57E7CC0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0E34EAB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高清语音平台</w:t>
            </w:r>
          </w:p>
        </w:tc>
      </w:tr>
      <w:tr w14:paraId="10A6A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5147452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5FD7163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5259D3B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7D87FD5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医生虚拟叫号工作站模块</w:t>
            </w:r>
          </w:p>
        </w:tc>
      </w:tr>
      <w:tr w14:paraId="6DD0B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3723D7E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4A6AAE9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0EF188B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318EBB4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叫号器软件</w:t>
            </w:r>
          </w:p>
        </w:tc>
      </w:tr>
      <w:tr w14:paraId="2143D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4189CE8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restart"/>
            <w:vAlign w:val="center"/>
          </w:tcPr>
          <w:p w14:paraId="68AA8F6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医疗业务协同</w:t>
            </w:r>
          </w:p>
        </w:tc>
        <w:tc>
          <w:tcPr>
            <w:tcW w:w="2456" w:type="dxa"/>
            <w:vMerge w:val="restart"/>
            <w:vAlign w:val="center"/>
          </w:tcPr>
          <w:p w14:paraId="48F4BB9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云PACS</w:t>
            </w:r>
          </w:p>
          <w:p w14:paraId="29385BF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（6个子模块）</w:t>
            </w:r>
          </w:p>
        </w:tc>
        <w:tc>
          <w:tcPr>
            <w:tcW w:w="4173" w:type="dxa"/>
            <w:vAlign w:val="center"/>
          </w:tcPr>
          <w:p w14:paraId="03E1CFF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上传下载功能</w:t>
            </w:r>
          </w:p>
        </w:tc>
      </w:tr>
      <w:tr w14:paraId="1D4A8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5CE4630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3C35E0D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5057F41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0CF4193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云归档模块功能</w:t>
            </w:r>
          </w:p>
        </w:tc>
      </w:tr>
      <w:tr w14:paraId="3602F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539B57B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2BF617C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0A42CD1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1B74577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云存储模块功能</w:t>
            </w:r>
          </w:p>
        </w:tc>
      </w:tr>
      <w:tr w14:paraId="73C67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1F3DE92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70CF1C1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016E5DF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0118D67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云PACS服务模块功能</w:t>
            </w:r>
          </w:p>
        </w:tc>
      </w:tr>
      <w:tr w14:paraId="34CEA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14229D4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539E7DB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045C5BD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2AC2E62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云加密模块功能</w:t>
            </w:r>
          </w:p>
        </w:tc>
      </w:tr>
      <w:tr w14:paraId="50E79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1001" w:type="dxa"/>
            <w:vMerge w:val="continue"/>
            <w:vAlign w:val="center"/>
          </w:tcPr>
          <w:p w14:paraId="5EF6D4A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786AA4D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77BEC1D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5E3D1D2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PACS 影像工作站</w:t>
            </w:r>
          </w:p>
        </w:tc>
      </w:tr>
      <w:tr w14:paraId="000B3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0CE2502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64F1EFA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restart"/>
            <w:vAlign w:val="center"/>
          </w:tcPr>
          <w:p w14:paraId="44E83BD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检验信息系统</w:t>
            </w:r>
          </w:p>
          <w:p w14:paraId="02BE26E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（4个子模块）</w:t>
            </w:r>
          </w:p>
        </w:tc>
        <w:tc>
          <w:tcPr>
            <w:tcW w:w="4173" w:type="dxa"/>
            <w:vAlign w:val="center"/>
          </w:tcPr>
          <w:p w14:paraId="5F97E74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检验数据采集及传输</w:t>
            </w:r>
          </w:p>
        </w:tc>
      </w:tr>
      <w:tr w14:paraId="22D23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7AB501B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7A428B1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11D1CD1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213707D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检验报告管理</w:t>
            </w:r>
          </w:p>
        </w:tc>
      </w:tr>
      <w:tr w14:paraId="4B4FC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4B0C530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55C1F3F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5B1A693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27783B7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标本管理</w:t>
            </w:r>
          </w:p>
        </w:tc>
      </w:tr>
      <w:tr w14:paraId="413EE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10AE1BA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65C8FE3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2F9D648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7DC7B97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查询统计</w:t>
            </w:r>
          </w:p>
        </w:tc>
      </w:tr>
      <w:tr w14:paraId="77D83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restart"/>
            <w:vAlign w:val="center"/>
          </w:tcPr>
          <w:p w14:paraId="72269E4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2</w:t>
            </w:r>
          </w:p>
        </w:tc>
        <w:tc>
          <w:tcPr>
            <w:tcW w:w="1977" w:type="dxa"/>
            <w:vMerge w:val="restart"/>
            <w:vAlign w:val="center"/>
          </w:tcPr>
          <w:p w14:paraId="0A7343C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运营管理平台</w:t>
            </w:r>
          </w:p>
        </w:tc>
        <w:tc>
          <w:tcPr>
            <w:tcW w:w="2456" w:type="dxa"/>
            <w:vMerge w:val="restart"/>
            <w:vAlign w:val="center"/>
          </w:tcPr>
          <w:p w14:paraId="6B26C82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统一登录门户</w:t>
            </w:r>
          </w:p>
          <w:p w14:paraId="691EC77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（5个子模块）</w:t>
            </w:r>
          </w:p>
        </w:tc>
        <w:tc>
          <w:tcPr>
            <w:tcW w:w="4173" w:type="dxa"/>
            <w:vAlign w:val="center"/>
          </w:tcPr>
          <w:p w14:paraId="313183D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系统管理</w:t>
            </w:r>
          </w:p>
        </w:tc>
      </w:tr>
      <w:tr w14:paraId="58AF6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18A6617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19197C5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3C2E528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463FBED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基础数据</w:t>
            </w:r>
          </w:p>
        </w:tc>
      </w:tr>
      <w:tr w14:paraId="32AF6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09AA37F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6F12D70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3E1FAD8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68D316E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通知公告</w:t>
            </w:r>
          </w:p>
        </w:tc>
      </w:tr>
      <w:tr w14:paraId="34A43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07B680D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2A6C913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6E4DFBC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0971BE7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消息查看</w:t>
            </w:r>
          </w:p>
        </w:tc>
      </w:tr>
      <w:tr w14:paraId="24961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181F8DB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1F7A844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5260071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01E325C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业务系统登录</w:t>
            </w:r>
          </w:p>
        </w:tc>
      </w:tr>
      <w:tr w14:paraId="7BAE6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5B9A60F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737F229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restart"/>
            <w:vAlign w:val="center"/>
          </w:tcPr>
          <w:p w14:paraId="0210891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统一数据上报</w:t>
            </w:r>
          </w:p>
          <w:p w14:paraId="47504D9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（3个子模块）</w:t>
            </w:r>
          </w:p>
        </w:tc>
        <w:tc>
          <w:tcPr>
            <w:tcW w:w="4173" w:type="dxa"/>
            <w:vAlign w:val="center"/>
          </w:tcPr>
          <w:p w14:paraId="321EAFB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人事数据上报</w:t>
            </w:r>
          </w:p>
        </w:tc>
      </w:tr>
      <w:tr w14:paraId="1E297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0550B6B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30DD297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63B6855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594D69C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财务数据上报</w:t>
            </w:r>
          </w:p>
        </w:tc>
      </w:tr>
      <w:tr w14:paraId="3ECBA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7535419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1F241C7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6946FF6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1C07A24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医院工作报表填报</w:t>
            </w:r>
          </w:p>
        </w:tc>
      </w:tr>
      <w:tr w14:paraId="4CEEE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36669C4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088CF0A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restart"/>
            <w:vAlign w:val="center"/>
          </w:tcPr>
          <w:p w14:paraId="1D7A497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综合查询分析</w:t>
            </w:r>
          </w:p>
          <w:p w14:paraId="12FF156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(6个子模块)</w:t>
            </w:r>
          </w:p>
        </w:tc>
        <w:tc>
          <w:tcPr>
            <w:tcW w:w="4173" w:type="dxa"/>
            <w:vAlign w:val="center"/>
          </w:tcPr>
          <w:p w14:paraId="6461AC6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业务明细查询</w:t>
            </w:r>
          </w:p>
        </w:tc>
      </w:tr>
      <w:tr w14:paraId="51DD6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143FB9E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11E46C2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321E452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2E59099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医疗数据分析</w:t>
            </w:r>
          </w:p>
        </w:tc>
      </w:tr>
      <w:tr w14:paraId="38991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324F85E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19FFA3B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591FC48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396D4A3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公卫数据分析</w:t>
            </w:r>
          </w:p>
        </w:tc>
      </w:tr>
      <w:tr w14:paraId="4F54A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2E5F40D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5691DCE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2D3DE0D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1B64EA7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卫生资源状况分析</w:t>
            </w:r>
          </w:p>
        </w:tc>
      </w:tr>
      <w:tr w14:paraId="1089A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3743C66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49DABF3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7E0768F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78270C3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绩效考核问题分析</w:t>
            </w:r>
          </w:p>
        </w:tc>
      </w:tr>
      <w:tr w14:paraId="4B3B7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5EB748F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3CA6D54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5036D59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6829BA7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重点疾病预警分析</w:t>
            </w:r>
          </w:p>
        </w:tc>
      </w:tr>
      <w:tr w14:paraId="4A20B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199D092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32C7ADB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restart"/>
            <w:vAlign w:val="center"/>
          </w:tcPr>
          <w:p w14:paraId="693D0AF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处方点评系统</w:t>
            </w:r>
          </w:p>
          <w:p w14:paraId="189B597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(5个子模块)</w:t>
            </w:r>
          </w:p>
        </w:tc>
        <w:tc>
          <w:tcPr>
            <w:tcW w:w="4173" w:type="dxa"/>
            <w:vAlign w:val="center"/>
          </w:tcPr>
          <w:p w14:paraId="766F3C8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点评规则管理</w:t>
            </w:r>
          </w:p>
        </w:tc>
      </w:tr>
      <w:tr w14:paraId="225FA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3ABBC78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745CB77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481F97E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5060490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点评任务管理</w:t>
            </w:r>
          </w:p>
        </w:tc>
      </w:tr>
      <w:tr w14:paraId="47329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0CCA083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78A7600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0933F1C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42AD982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处方点评管理</w:t>
            </w:r>
          </w:p>
        </w:tc>
      </w:tr>
      <w:tr w14:paraId="52E59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2EC365B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4473F25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3A90AD6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615A826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处方复评管理</w:t>
            </w:r>
          </w:p>
        </w:tc>
      </w:tr>
      <w:tr w14:paraId="42D97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43FA550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60BD6AA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7983F28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43B3412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处方点评工作情况汇总表</w:t>
            </w:r>
          </w:p>
        </w:tc>
      </w:tr>
      <w:tr w14:paraId="04897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restart"/>
            <w:vAlign w:val="center"/>
          </w:tcPr>
          <w:p w14:paraId="2D9E233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3</w:t>
            </w:r>
          </w:p>
        </w:tc>
        <w:tc>
          <w:tcPr>
            <w:tcW w:w="1977" w:type="dxa"/>
            <w:vMerge w:val="restart"/>
            <w:vAlign w:val="center"/>
          </w:tcPr>
          <w:p w14:paraId="30260BD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业务系统对接</w:t>
            </w:r>
          </w:p>
        </w:tc>
        <w:tc>
          <w:tcPr>
            <w:tcW w:w="2456" w:type="dxa"/>
            <w:vMerge w:val="restart"/>
            <w:vAlign w:val="center"/>
          </w:tcPr>
          <w:p w14:paraId="1DDB8CF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挂号号源池对接</w:t>
            </w:r>
          </w:p>
        </w:tc>
        <w:tc>
          <w:tcPr>
            <w:tcW w:w="4173" w:type="dxa"/>
            <w:vAlign w:val="center"/>
          </w:tcPr>
          <w:p w14:paraId="705BD36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号源池前置机配置</w:t>
            </w:r>
          </w:p>
        </w:tc>
      </w:tr>
      <w:tr w14:paraId="791ED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74DF125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64DF271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20B7E66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55351EC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HAP系统改造</w:t>
            </w:r>
          </w:p>
        </w:tc>
      </w:tr>
      <w:tr w14:paraId="5E42D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62CA85A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7DEA798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07995F8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0D73FAA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上级专家预约功能上线</w:t>
            </w:r>
          </w:p>
        </w:tc>
      </w:tr>
      <w:tr w14:paraId="02DC4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4C7A83F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3F45AD5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restart"/>
            <w:vAlign w:val="center"/>
          </w:tcPr>
          <w:p w14:paraId="5916F13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药事管理平台对接</w:t>
            </w:r>
          </w:p>
        </w:tc>
        <w:tc>
          <w:tcPr>
            <w:tcW w:w="4173" w:type="dxa"/>
            <w:vAlign w:val="center"/>
          </w:tcPr>
          <w:p w14:paraId="57E07CB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药事管理平台云主机配置</w:t>
            </w:r>
          </w:p>
        </w:tc>
      </w:tr>
      <w:tr w14:paraId="02764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7027C13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7F5D451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7CB3983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01A0CA4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HAP系统改造</w:t>
            </w:r>
          </w:p>
        </w:tc>
      </w:tr>
      <w:tr w14:paraId="1D873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42D44D1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7D35935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6101B28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3B563F8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药事管理平台系统</w:t>
            </w:r>
          </w:p>
        </w:tc>
      </w:tr>
      <w:tr w14:paraId="0704D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151BEEB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20052E2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restart"/>
            <w:vAlign w:val="center"/>
          </w:tcPr>
          <w:p w14:paraId="52D51FE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医保云预约挂号</w:t>
            </w:r>
          </w:p>
        </w:tc>
        <w:tc>
          <w:tcPr>
            <w:tcW w:w="4173" w:type="dxa"/>
            <w:vAlign w:val="center"/>
          </w:tcPr>
          <w:p w14:paraId="6C8C471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医保云预约挂号前置机配置</w:t>
            </w:r>
          </w:p>
        </w:tc>
      </w:tr>
      <w:tr w14:paraId="788EE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048EBB3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048E37F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7DDDC18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208A3C7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HAP系统改造</w:t>
            </w:r>
          </w:p>
        </w:tc>
      </w:tr>
      <w:tr w14:paraId="2F9AF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48D94C5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3A6685E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2EE28C4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1463048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医保云线上挂号功能上线</w:t>
            </w:r>
          </w:p>
        </w:tc>
      </w:tr>
      <w:tr w14:paraId="1797C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27AB480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069FF80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restart"/>
            <w:vAlign w:val="center"/>
          </w:tcPr>
          <w:p w14:paraId="46BD6C0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r>
              <w:rPr>
                <w:rFonts w:hint="eastAsia" w:asciiTheme="minorEastAsia" w:hAnsiTheme="minorEastAsia" w:eastAsiaTheme="minorEastAsia" w:cstheme="minorEastAsia"/>
                <w:strike w:val="0"/>
                <w:dstrike w:val="0"/>
                <w:sz w:val="21"/>
                <w:szCs w:val="21"/>
                <w:u w:val="none"/>
                <w:vertAlign w:val="baseline"/>
                <w:lang w:val="en-US" w:eastAsia="zh-CN"/>
              </w:rPr>
              <w:t>省影像云、省检验云对接</w:t>
            </w:r>
          </w:p>
        </w:tc>
        <w:tc>
          <w:tcPr>
            <w:tcW w:w="4173" w:type="dxa"/>
            <w:vAlign w:val="center"/>
          </w:tcPr>
          <w:p w14:paraId="458AA23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省影像云、省检验云前置机配置</w:t>
            </w:r>
          </w:p>
        </w:tc>
      </w:tr>
      <w:tr w14:paraId="2DDD8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1F3BAD5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63D9BB5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20F8C37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154C69B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HAP系统改造</w:t>
            </w:r>
          </w:p>
        </w:tc>
      </w:tr>
      <w:tr w14:paraId="463BC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Merge w:val="continue"/>
            <w:vAlign w:val="center"/>
          </w:tcPr>
          <w:p w14:paraId="6D6B26F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1977" w:type="dxa"/>
            <w:vMerge w:val="continue"/>
            <w:vAlign w:val="center"/>
          </w:tcPr>
          <w:p w14:paraId="370DB25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2456" w:type="dxa"/>
            <w:vMerge w:val="continue"/>
            <w:vAlign w:val="center"/>
          </w:tcPr>
          <w:p w14:paraId="3FD932E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trike w:val="0"/>
                <w:dstrike w:val="0"/>
                <w:sz w:val="21"/>
                <w:szCs w:val="21"/>
                <w:u w:val="none"/>
                <w:vertAlign w:val="baseline"/>
                <w:lang w:val="en-US" w:eastAsia="zh-CN"/>
              </w:rPr>
            </w:pPr>
          </w:p>
        </w:tc>
        <w:tc>
          <w:tcPr>
            <w:tcW w:w="4173" w:type="dxa"/>
            <w:vAlign w:val="center"/>
          </w:tcPr>
          <w:p w14:paraId="26C76B2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跨院调阅、重复系统对接</w:t>
            </w:r>
          </w:p>
        </w:tc>
      </w:tr>
    </w:tbl>
    <w:p w14:paraId="62338D6E">
      <w:pPr>
        <w:keepNext w:val="0"/>
        <w:keepLines w:val="0"/>
        <w:pageBreakBefore w:val="0"/>
        <w:widowControl/>
        <w:numPr>
          <w:ilvl w:val="0"/>
          <w:numId w:val="0"/>
        </w:numPr>
        <w:tabs>
          <w:tab w:val="left" w:pos="3315"/>
        </w:tabs>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bidi="ar-SA"/>
        </w:rPr>
        <w:t>5.</w:t>
      </w:r>
      <w:r>
        <w:rPr>
          <w:rFonts w:hint="eastAsia" w:asciiTheme="minorEastAsia" w:hAnsiTheme="minorEastAsia" w:eastAsiaTheme="minorEastAsia" w:cstheme="minorEastAsia"/>
          <w:sz w:val="24"/>
          <w:szCs w:val="24"/>
          <w:highlight w:val="none"/>
          <w:lang w:val="en-US" w:eastAsia="zh-CN"/>
        </w:rPr>
        <w:t>业务计算、存储资源需求：</w:t>
      </w:r>
      <w:r>
        <w:rPr>
          <w:rFonts w:hint="eastAsia" w:asciiTheme="minorEastAsia" w:hAnsiTheme="minorEastAsia" w:eastAsiaTheme="minorEastAsia" w:cstheme="minorEastAsia"/>
          <w:sz w:val="24"/>
          <w:szCs w:val="24"/>
          <w:lang w:val="en-US" w:eastAsia="zh-CN"/>
        </w:rPr>
        <w:t>根据未来业务扩展及发展需求，下表罗列业务所需具体计算资源、存储资源要求。</w:t>
      </w:r>
    </w:p>
    <w:tbl>
      <w:tblPr>
        <w:tblStyle w:val="3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698"/>
        <w:gridCol w:w="4723"/>
      </w:tblGrid>
      <w:tr w14:paraId="5E5C90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0" w:hRule="atLeast"/>
          <w:jc w:val="center"/>
        </w:trPr>
        <w:tc>
          <w:tcPr>
            <w:tcW w:w="469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B03A437">
            <w:pPr>
              <w:keepNext w:val="0"/>
              <w:keepLines w:val="0"/>
              <w:pageBreakBefore w:val="0"/>
              <w:widowControl w:val="0"/>
              <w:pBdr>
                <w:top w:val="none" w:color="000000" w:sz="0" w:space="0"/>
                <w:left w:val="none" w:color="000000" w:sz="0" w:space="0"/>
                <w:bottom w:val="none" w:color="000000" w:sz="0" w:space="0"/>
                <w:right w:val="none" w:color="000000" w:sz="0" w:space="0"/>
              </w:pBdr>
              <w:wordWrap/>
              <w:overflowPunct/>
              <w:topLinePunct w:val="0"/>
              <w:bidi w:val="0"/>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u w:val="none"/>
              </w:rPr>
              <w:t>资源配置</w:t>
            </w:r>
          </w:p>
        </w:tc>
        <w:tc>
          <w:tcPr>
            <w:tcW w:w="4723"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F364309">
            <w:pPr>
              <w:keepNext w:val="0"/>
              <w:keepLines w:val="0"/>
              <w:pageBreakBefore w:val="0"/>
              <w:widowControl w:val="0"/>
              <w:pBdr>
                <w:top w:val="none" w:color="000000" w:sz="0" w:space="0"/>
                <w:left w:val="none" w:color="000000" w:sz="0" w:space="0"/>
                <w:bottom w:val="none" w:color="000000" w:sz="0" w:space="0"/>
                <w:right w:val="none" w:color="000000" w:sz="0" w:space="0"/>
              </w:pBdr>
              <w:wordWrap/>
              <w:overflowPunct/>
              <w:topLinePunct w:val="0"/>
              <w:bidi w:val="0"/>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rPr>
              <w:t>配置容量</w:t>
            </w:r>
          </w:p>
        </w:tc>
      </w:tr>
      <w:tr w14:paraId="4C5C24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9" w:hRule="atLeast"/>
          <w:jc w:val="center"/>
        </w:trPr>
        <w:tc>
          <w:tcPr>
            <w:tcW w:w="469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DD6C5FD">
            <w:pPr>
              <w:keepNext w:val="0"/>
              <w:keepLines w:val="0"/>
              <w:pageBreakBefore w:val="0"/>
              <w:widowControl w:val="0"/>
              <w:pBdr>
                <w:top w:val="none" w:color="000000" w:sz="0" w:space="0"/>
                <w:left w:val="none" w:color="000000" w:sz="0" w:space="0"/>
                <w:bottom w:val="none" w:color="000000" w:sz="0" w:space="0"/>
                <w:right w:val="none" w:color="000000" w:sz="0" w:space="0"/>
              </w:pBdr>
              <w:wordWrap/>
              <w:overflowPunct/>
              <w:topLinePunct w:val="0"/>
              <w:bidi w:val="0"/>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CPU</w:t>
            </w:r>
          </w:p>
        </w:tc>
        <w:tc>
          <w:tcPr>
            <w:tcW w:w="47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0838558">
            <w:pPr>
              <w:keepNext w:val="0"/>
              <w:keepLines w:val="0"/>
              <w:pageBreakBefore w:val="0"/>
              <w:widowControl w:val="0"/>
              <w:pBdr>
                <w:top w:val="none" w:color="000000" w:sz="0" w:space="0"/>
                <w:left w:val="none" w:color="000000" w:sz="0" w:space="0"/>
                <w:bottom w:val="none" w:color="000000" w:sz="0" w:space="0"/>
                <w:right w:val="none" w:color="000000" w:sz="0" w:space="0"/>
              </w:pBdr>
              <w:wordWrap/>
              <w:overflowPunct/>
              <w:topLinePunct w:val="0"/>
              <w:bidi w:val="0"/>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18</w:t>
            </w:r>
            <w:r>
              <w:rPr>
                <w:rFonts w:hint="eastAsia" w:ascii="宋体" w:hAnsi="宋体" w:eastAsia="宋体" w:cs="宋体"/>
                <w:color w:val="auto"/>
                <w:sz w:val="21"/>
                <w:szCs w:val="21"/>
                <w:lang w:val="en-US" w:eastAsia="zh-CN"/>
              </w:rPr>
              <w:t>08</w:t>
            </w:r>
            <w:r>
              <w:rPr>
                <w:rFonts w:hint="eastAsia" w:ascii="宋体" w:hAnsi="宋体" w:eastAsia="宋体" w:cs="宋体"/>
                <w:color w:val="auto"/>
                <w:sz w:val="21"/>
                <w:szCs w:val="21"/>
              </w:rPr>
              <w:t>核</w:t>
            </w:r>
          </w:p>
        </w:tc>
      </w:tr>
      <w:tr w14:paraId="0C2EF3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0" w:hRule="atLeast"/>
          <w:jc w:val="center"/>
        </w:trPr>
        <w:tc>
          <w:tcPr>
            <w:tcW w:w="469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60B92B9">
            <w:pPr>
              <w:keepNext w:val="0"/>
              <w:keepLines w:val="0"/>
              <w:pageBreakBefore w:val="0"/>
              <w:widowControl w:val="0"/>
              <w:pBdr>
                <w:top w:val="none" w:color="000000" w:sz="0" w:space="0"/>
                <w:left w:val="none" w:color="000000" w:sz="0" w:space="0"/>
                <w:bottom w:val="none" w:color="000000" w:sz="0" w:space="0"/>
                <w:right w:val="none" w:color="000000" w:sz="0" w:space="0"/>
              </w:pBdr>
              <w:wordWrap/>
              <w:overflowPunct/>
              <w:topLinePunct w:val="0"/>
              <w:bidi w:val="0"/>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内存</w:t>
            </w:r>
          </w:p>
        </w:tc>
        <w:tc>
          <w:tcPr>
            <w:tcW w:w="47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DC12BC">
            <w:pPr>
              <w:keepNext w:val="0"/>
              <w:keepLines w:val="0"/>
              <w:pageBreakBefore w:val="0"/>
              <w:widowControl w:val="0"/>
              <w:pBdr>
                <w:top w:val="none" w:color="000000" w:sz="0" w:space="0"/>
                <w:left w:val="none" w:color="000000" w:sz="0" w:space="0"/>
                <w:bottom w:val="none" w:color="000000" w:sz="0" w:space="0"/>
                <w:right w:val="none" w:color="000000" w:sz="0" w:space="0"/>
              </w:pBdr>
              <w:wordWrap/>
              <w:overflowPunct/>
              <w:topLinePunct w:val="0"/>
              <w:bidi w:val="0"/>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val="en-US" w:eastAsia="zh-CN"/>
              </w:rPr>
              <w:t>616</w:t>
            </w:r>
            <w:r>
              <w:rPr>
                <w:rFonts w:hint="eastAsia" w:ascii="宋体" w:hAnsi="宋体" w:eastAsia="宋体" w:cs="宋体"/>
                <w:color w:val="auto"/>
                <w:sz w:val="21"/>
                <w:szCs w:val="21"/>
              </w:rPr>
              <w:t>GB</w:t>
            </w:r>
          </w:p>
        </w:tc>
      </w:tr>
      <w:tr w14:paraId="06DDE5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0" w:hRule="atLeast"/>
          <w:jc w:val="center"/>
        </w:trPr>
        <w:tc>
          <w:tcPr>
            <w:tcW w:w="469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F610434">
            <w:pPr>
              <w:keepNext w:val="0"/>
              <w:keepLines w:val="0"/>
              <w:pageBreakBefore w:val="0"/>
              <w:widowControl w:val="0"/>
              <w:pBdr>
                <w:top w:val="none" w:color="000000" w:sz="0" w:space="0"/>
                <w:left w:val="none" w:color="000000" w:sz="0" w:space="0"/>
                <w:bottom w:val="none" w:color="000000" w:sz="0" w:space="0"/>
                <w:right w:val="none" w:color="000000" w:sz="0" w:space="0"/>
              </w:pBdr>
              <w:wordWrap/>
              <w:overflowPunct/>
              <w:topLinePunct w:val="0"/>
              <w:bidi w:val="0"/>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结构化存储（双活）</w:t>
            </w:r>
          </w:p>
        </w:tc>
        <w:tc>
          <w:tcPr>
            <w:tcW w:w="47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C140E31">
            <w:pPr>
              <w:keepNext w:val="0"/>
              <w:keepLines w:val="0"/>
              <w:pageBreakBefore w:val="0"/>
              <w:widowControl w:val="0"/>
              <w:pBdr>
                <w:top w:val="none" w:color="000000" w:sz="0" w:space="0"/>
                <w:left w:val="none" w:color="000000" w:sz="0" w:space="0"/>
                <w:bottom w:val="none" w:color="000000" w:sz="0" w:space="0"/>
                <w:right w:val="none" w:color="000000" w:sz="0" w:space="0"/>
              </w:pBdr>
              <w:wordWrap/>
              <w:overflowPunct/>
              <w:topLinePunct w:val="0"/>
              <w:bidi w:val="0"/>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72215</w:t>
            </w:r>
            <w:r>
              <w:rPr>
                <w:rFonts w:hint="eastAsia" w:ascii="宋体" w:hAnsi="宋体" w:eastAsia="宋体" w:cs="宋体"/>
                <w:color w:val="auto"/>
                <w:sz w:val="21"/>
                <w:szCs w:val="21"/>
              </w:rPr>
              <w:t>GB</w:t>
            </w:r>
          </w:p>
        </w:tc>
      </w:tr>
      <w:tr w14:paraId="599A09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0" w:hRule="atLeast"/>
          <w:jc w:val="center"/>
        </w:trPr>
        <w:tc>
          <w:tcPr>
            <w:tcW w:w="469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8DF9978">
            <w:pPr>
              <w:keepNext w:val="0"/>
              <w:keepLines w:val="0"/>
              <w:pageBreakBefore w:val="0"/>
              <w:widowControl w:val="0"/>
              <w:pBdr>
                <w:top w:val="none" w:color="000000" w:sz="0" w:space="0"/>
                <w:left w:val="none" w:color="000000" w:sz="0" w:space="0"/>
                <w:bottom w:val="none" w:color="000000" w:sz="0" w:space="0"/>
                <w:right w:val="none" w:color="000000" w:sz="0" w:space="0"/>
              </w:pBdr>
              <w:wordWrap/>
              <w:overflowPunct/>
              <w:topLinePunct w:val="0"/>
              <w:bidi w:val="0"/>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对象储存（pacs）</w:t>
            </w:r>
          </w:p>
        </w:tc>
        <w:tc>
          <w:tcPr>
            <w:tcW w:w="47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2E0E06">
            <w:pPr>
              <w:keepNext w:val="0"/>
              <w:keepLines w:val="0"/>
              <w:pageBreakBefore w:val="0"/>
              <w:widowControl w:val="0"/>
              <w:pBdr>
                <w:top w:val="none" w:color="000000" w:sz="0" w:space="0"/>
                <w:left w:val="none" w:color="000000" w:sz="0" w:space="0"/>
                <w:bottom w:val="none" w:color="000000" w:sz="0" w:space="0"/>
                <w:right w:val="none" w:color="000000" w:sz="0" w:space="0"/>
              </w:pBdr>
              <w:wordWrap/>
              <w:overflowPunct/>
              <w:topLinePunct w:val="0"/>
              <w:bidi w:val="0"/>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84521</w:t>
            </w:r>
            <w:r>
              <w:rPr>
                <w:rFonts w:hint="eastAsia" w:ascii="宋体" w:hAnsi="宋体" w:eastAsia="宋体" w:cs="宋体"/>
                <w:color w:val="auto"/>
                <w:sz w:val="21"/>
                <w:szCs w:val="21"/>
              </w:rPr>
              <w:t>GB</w:t>
            </w:r>
          </w:p>
        </w:tc>
      </w:tr>
    </w:tbl>
    <w:p w14:paraId="2B3B27B6">
      <w:pPr>
        <w:keepNext w:val="0"/>
        <w:keepLines w:val="0"/>
        <w:pageBreakBefore w:val="0"/>
        <w:numPr>
          <w:ilvl w:val="0"/>
          <w:numId w:val="0"/>
        </w:numPr>
        <w:tabs>
          <w:tab w:val="left" w:pos="3315"/>
        </w:tabs>
        <w:wordWrap/>
        <w:overflowPunct/>
        <w:topLinePunct w:val="0"/>
        <w:bidi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6.</w:t>
      </w:r>
      <w:r>
        <w:rPr>
          <w:rFonts w:hint="eastAsia" w:ascii="宋体" w:hAnsi="宋体" w:eastAsia="宋体" w:cs="宋体"/>
          <w:sz w:val="24"/>
          <w:szCs w:val="24"/>
          <w:highlight w:val="none"/>
          <w:lang w:val="en-US" w:eastAsia="zh-CN"/>
        </w:rPr>
        <w:t>服务要求</w:t>
      </w:r>
    </w:p>
    <w:p w14:paraId="5DB3F760">
      <w:pPr>
        <w:keepNext w:val="0"/>
        <w:keepLines w:val="0"/>
        <w:pageBreakBefore w:val="0"/>
        <w:wordWrap/>
        <w:overflowPunct/>
        <w:topLinePunct w:val="0"/>
        <w:bidi w:val="0"/>
        <w:spacing w:line="360" w:lineRule="auto"/>
        <w:ind w:left="0" w:leftChars="0" w:firstLine="482" w:firstLineChars="200"/>
        <w:rPr>
          <w:rFonts w:hint="eastAsia" w:ascii="宋体" w:hAnsi="宋体" w:eastAsia="宋体" w:cs="宋体"/>
          <w:b/>
          <w:bCs/>
          <w:sz w:val="24"/>
          <w:szCs w:val="24"/>
        </w:rPr>
      </w:pPr>
      <w:r>
        <w:rPr>
          <w:rFonts w:hint="eastAsia" w:ascii="宋体" w:hAnsi="宋体" w:eastAsia="宋体" w:cs="宋体"/>
          <w:b/>
          <w:bCs/>
          <w:sz w:val="24"/>
          <w:szCs w:val="24"/>
          <w:lang w:val="en-US" w:eastAsia="zh-CN"/>
        </w:rPr>
        <w:t>6</w:t>
      </w:r>
      <w:r>
        <w:rPr>
          <w:rFonts w:hint="eastAsia" w:ascii="宋体" w:hAnsi="宋体" w:eastAsia="宋体" w:cs="宋体"/>
          <w:b/>
          <w:bCs/>
          <w:color w:val="auto"/>
          <w:sz w:val="24"/>
          <w:szCs w:val="24"/>
          <w:highlight w:val="none"/>
        </w:rPr>
        <w:t>.</w:t>
      </w:r>
      <w:r>
        <w:rPr>
          <w:rFonts w:hint="eastAsia" w:ascii="宋体" w:hAnsi="宋体" w:eastAsia="宋体" w:cs="宋体"/>
          <w:b/>
          <w:bCs/>
          <w:sz w:val="24"/>
          <w:szCs w:val="24"/>
          <w:lang w:val="en-US" w:eastAsia="zh-CN"/>
        </w:rPr>
        <w:t xml:space="preserve">1 </w:t>
      </w:r>
      <w:r>
        <w:rPr>
          <w:rFonts w:hint="eastAsia" w:ascii="宋体" w:hAnsi="宋体" w:eastAsia="宋体" w:cs="宋体"/>
          <w:b/>
          <w:bCs/>
          <w:sz w:val="24"/>
          <w:szCs w:val="24"/>
        </w:rPr>
        <w:t>日常维护</w:t>
      </w:r>
    </w:p>
    <w:p w14:paraId="288FA5A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（1）稳定运行保障：保证在用的各系统、平台及其功能的完整及正确性，能承受不断增加的业务和数据压力，保证系统运行的高效、稳定。</w:t>
      </w:r>
    </w:p>
    <w:p w14:paraId="68369E4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（2）系统错误修复：系统、平台在使用过程中发现的错误，在24小时内完成修复。</w:t>
      </w:r>
    </w:p>
    <w:p w14:paraId="05935A8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（3）系统数据修复：系统、平台使用过程中，因用户误操作等原因导致的数据错误，查明原因和进行数据修复。</w:t>
      </w:r>
    </w:p>
    <w:p w14:paraId="1E95828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（4）实施培训：负责因各种原因变化增加的项目实施和人员培训工作。</w:t>
      </w:r>
    </w:p>
    <w:p w14:paraId="66DF4C9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业务需求服务</w:t>
      </w:r>
    </w:p>
    <w:p w14:paraId="0FECBE3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（1）医保需求：满足对现有医保系统连接的处理。市医保、区医保系统的连接、结算和处理。</w:t>
      </w:r>
    </w:p>
    <w:p w14:paraId="16F26A3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（2）功能需求：在系统结构允许的范围内，根据</w:t>
      </w:r>
      <w:r>
        <w:rPr>
          <w:rFonts w:hint="eastAsia" w:ascii="宋体" w:hAnsi="宋体" w:eastAsia="宋体" w:cs="宋体"/>
          <w:color w:val="auto"/>
          <w:sz w:val="24"/>
          <w:szCs w:val="24"/>
          <w:highlight w:val="none"/>
          <w:lang w:eastAsia="zh-CN"/>
        </w:rPr>
        <w:t>医疗卫生机构</w:t>
      </w:r>
      <w:r>
        <w:rPr>
          <w:rFonts w:hint="eastAsia" w:ascii="宋体" w:hAnsi="宋体" w:eastAsia="宋体" w:cs="宋体"/>
          <w:color w:val="auto"/>
          <w:sz w:val="24"/>
          <w:szCs w:val="24"/>
          <w:highlight w:val="none"/>
        </w:rPr>
        <w:t>管理和业务变化做出必要的流程变更、功能新增、调整和修改。</w:t>
      </w:r>
    </w:p>
    <w:p w14:paraId="189EAB0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业务需求：在不影响现有系统架构的前提下，对扩展需求应给于响应；当现有系统性能、架构不能满足医院业务发展需求时，应对系统架构、系统性能做出适应性调整和完善，以满足医疗卫生业务的正常发展。</w:t>
      </w:r>
    </w:p>
    <w:p w14:paraId="14B4A85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第三方软件接口开发</w:t>
      </w:r>
    </w:p>
    <w:p w14:paraId="028C115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（1）在维护期内，各医疗卫生机构购买的第三方软件、检验、影像、心电、病理等设备需要集成时，负责完成与HIS、平台的接口开发工作。</w:t>
      </w:r>
    </w:p>
    <w:p w14:paraId="2379F04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系统集成服务（指服务器硬件和系统软件集成服务）</w:t>
      </w:r>
    </w:p>
    <w:p w14:paraId="1A6FB35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（1）系统维护：负责服务器操作系统、计算机操作系统、业务应用软件、数据库管理软件的安装和维护。</w:t>
      </w:r>
    </w:p>
    <w:p w14:paraId="7D9EDF5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（2）系统安全：负责</w:t>
      </w:r>
      <w:r>
        <w:rPr>
          <w:rFonts w:hint="eastAsia" w:ascii="宋体" w:hAnsi="宋体" w:eastAsia="宋体" w:cs="宋体"/>
          <w:color w:val="auto"/>
          <w:sz w:val="24"/>
          <w:szCs w:val="24"/>
          <w:highlight w:val="none"/>
          <w:lang w:eastAsia="zh-CN"/>
        </w:rPr>
        <w:t>医疗卫生机构</w:t>
      </w:r>
      <w:r>
        <w:rPr>
          <w:rFonts w:hint="eastAsia" w:ascii="宋体" w:hAnsi="宋体" w:eastAsia="宋体" w:cs="宋体"/>
          <w:color w:val="auto"/>
          <w:sz w:val="24"/>
          <w:szCs w:val="24"/>
          <w:highlight w:val="none"/>
        </w:rPr>
        <w:t>信息系统安全性方案的总体规划、设计和监控。</w:t>
      </w:r>
    </w:p>
    <w:p w14:paraId="5736A64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（3）数据备份：负责医疗卫生数据备份，负责数据系统安全性方案的设计和实施。</w:t>
      </w:r>
    </w:p>
    <w:p w14:paraId="62942A9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.5</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系统维护响应要求</w:t>
      </w:r>
    </w:p>
    <w:p w14:paraId="45E8FB1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对现有软件进行日常维护，对</w:t>
      </w:r>
      <w:r>
        <w:rPr>
          <w:rFonts w:hint="eastAsia" w:ascii="宋体" w:hAnsi="宋体" w:eastAsia="宋体" w:cs="宋体"/>
          <w:color w:val="auto"/>
          <w:sz w:val="24"/>
          <w:szCs w:val="24"/>
          <w:highlight w:val="none"/>
          <w:lang w:eastAsia="zh-CN"/>
        </w:rPr>
        <w:t>医疗卫生机构</w:t>
      </w:r>
      <w:r>
        <w:rPr>
          <w:rFonts w:hint="eastAsia" w:ascii="宋体" w:hAnsi="宋体" w:eastAsia="宋体" w:cs="宋体"/>
          <w:color w:val="auto"/>
          <w:sz w:val="24"/>
          <w:szCs w:val="24"/>
          <w:highlight w:val="none"/>
        </w:rPr>
        <w:t>数据库信息进行定期优化，以保证信息系统的快速有效运行。出现现场工程师半小时不能解决的故障时，必须派出相应的技术工程师2小时内到达现场，保证4小时内解决问题，特殊情况不能超过24小时。</w:t>
      </w:r>
    </w:p>
    <w:p w14:paraId="6EA84EA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.6</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医院数据库维护</w:t>
      </w:r>
    </w:p>
    <w:p w14:paraId="38C9036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数据库需7</w:t>
      </w:r>
      <w:r>
        <w:rPr>
          <w:rFonts w:hint="default" w:ascii="Arial" w:hAnsi="Arial" w:eastAsia="宋体" w:cs="Arial"/>
          <w:color w:val="auto"/>
          <w:sz w:val="24"/>
          <w:szCs w:val="24"/>
          <w:highlight w:val="none"/>
        </w:rPr>
        <w:t>×</w:t>
      </w:r>
      <w:r>
        <w:rPr>
          <w:rFonts w:hint="eastAsia" w:ascii="宋体" w:hAnsi="宋体" w:eastAsia="宋体" w:cs="宋体"/>
          <w:color w:val="auto"/>
          <w:sz w:val="24"/>
          <w:szCs w:val="24"/>
          <w:highlight w:val="none"/>
        </w:rPr>
        <w:t>24h</w:t>
      </w:r>
      <w:r>
        <w:rPr>
          <w:rFonts w:hint="default" w:ascii="Arial" w:hAnsi="Arial" w:eastAsia="宋体" w:cs="Arial"/>
          <w:color w:val="auto"/>
          <w:sz w:val="24"/>
          <w:szCs w:val="24"/>
          <w:highlight w:val="none"/>
        </w:rPr>
        <w:t>×</w:t>
      </w:r>
      <w:r>
        <w:rPr>
          <w:rFonts w:hint="eastAsia" w:ascii="宋体" w:hAnsi="宋体" w:eastAsia="宋体" w:cs="宋体"/>
          <w:color w:val="auto"/>
          <w:sz w:val="24"/>
          <w:szCs w:val="24"/>
          <w:highlight w:val="none"/>
        </w:rPr>
        <w:t>365天不间断运行，每月进行数据库例行健康检查，</w:t>
      </w:r>
      <w:r>
        <w:rPr>
          <w:rFonts w:hint="eastAsia" w:ascii="宋体" w:hAnsi="宋体" w:eastAsia="宋体" w:cs="宋体"/>
          <w:color w:val="auto"/>
          <w:sz w:val="24"/>
          <w:szCs w:val="24"/>
          <w:highlight w:val="none"/>
          <w:lang w:eastAsia="zh-CN"/>
        </w:rPr>
        <w:t>对云网资源使用情况进行汇总，包含但不限于内存、</w:t>
      </w:r>
      <w:r>
        <w:rPr>
          <w:rFonts w:hint="eastAsia" w:ascii="宋体" w:hAnsi="宋体" w:eastAsia="宋体" w:cs="宋体"/>
          <w:color w:val="auto"/>
          <w:sz w:val="24"/>
          <w:szCs w:val="24"/>
          <w:highlight w:val="none"/>
          <w:lang w:val="en-US" w:eastAsia="zh-CN"/>
        </w:rPr>
        <w:t>CPU使用平均值、网络吞吐等情况并</w:t>
      </w:r>
      <w:r>
        <w:rPr>
          <w:rFonts w:hint="eastAsia" w:ascii="宋体" w:hAnsi="宋体" w:eastAsia="宋体" w:cs="宋体"/>
          <w:color w:val="auto"/>
          <w:sz w:val="24"/>
          <w:szCs w:val="24"/>
          <w:highlight w:val="none"/>
        </w:rPr>
        <w:t>形成报告提交，及时诊断并避免数据库问题的发生，对发现问题需在巡检报告里给出具体处理方式及处理结果。</w:t>
      </w:r>
    </w:p>
    <w:p w14:paraId="185D4AF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数据库健康检查内容：</w:t>
      </w:r>
    </w:p>
    <w:p w14:paraId="53932AA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（1）服务器的配置情况：包括磁盘规划、内存规划、CPU规划、网络连接规划等信息。</w:t>
      </w:r>
    </w:p>
    <w:p w14:paraId="069AA1C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（2）备份恢复策略的基本信息：包括备份策略、恢复策略、恢复测试计划等。</w:t>
      </w:r>
    </w:p>
    <w:p w14:paraId="5CAF22B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（3）容灾策略基本信息：包括容灾策略，业务允许最小中断时间等。</w:t>
      </w:r>
    </w:p>
    <w:p w14:paraId="2C75A77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数据库安全：包括口令管理、权限管理等信息。</w:t>
      </w:r>
    </w:p>
    <w:p w14:paraId="3351E87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（5）数据库配置信息：包括初始化参数，表空间信息，数据库文件信息，回滚段信息等。 </w:t>
      </w:r>
    </w:p>
    <w:p w14:paraId="40159F5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数据库运行信息：包括ALERT日志文件信息，等待事件，数据库I/O统计信息等 。 </w:t>
      </w:r>
    </w:p>
    <w:p w14:paraId="04AE210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（7）数据库性能优化信息：包括CPU使用，内存使用，磁盘I/O，数据库语句优化等。</w:t>
      </w:r>
    </w:p>
    <w:p w14:paraId="304008F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根据检查的结果，提交数据库的健康检查和性能优化分析报告。报告将包含如下内容：</w:t>
      </w:r>
    </w:p>
    <w:p w14:paraId="53AFA35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GB"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GB" w:eastAsia="zh-CN"/>
        </w:rPr>
        <w:t>）</w:t>
      </w:r>
      <w:r>
        <w:rPr>
          <w:rFonts w:hint="eastAsia" w:ascii="宋体" w:hAnsi="宋体" w:eastAsia="宋体" w:cs="宋体"/>
          <w:color w:val="auto"/>
          <w:sz w:val="24"/>
          <w:szCs w:val="24"/>
          <w:highlight w:val="none"/>
          <w:lang w:val="en-GB"/>
        </w:rPr>
        <w:t>服务器系统的整体信息描述；数据库的整体信息描述；数据库备份恢复策略的评估和建议；数据库容灾策略的评估与建议；数据库安全的评估和建议数据库配置的评估与建议（初始化参数设置，表空间，数据文件，回滚段等）；数据库运行状态的评估与建议（日志错误与警告，等待事件，数据库I/O统计信息等）数据库性能状态的评估与建议（CPU使用，内存使用，磁盘I/O）SQL语句优化等。</w:t>
      </w:r>
      <w:r>
        <w:rPr>
          <w:rFonts w:hint="eastAsia" w:ascii="宋体" w:hAnsi="宋体" w:eastAsia="宋体" w:cs="宋体"/>
          <w:color w:val="auto"/>
          <w:sz w:val="24"/>
          <w:szCs w:val="24"/>
          <w:highlight w:val="none"/>
        </w:rPr>
        <w:t>了解当前数据库的运行状况，明确数据库运行性能不足的原因，分析影响性能较大的数据库语句，并结合应用检查，给出合理化建议；</w:t>
      </w:r>
    </w:p>
    <w:p w14:paraId="6C4CA4C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（2）分析数据库的安全性、可靠性以及备份和恢复策略，对系统潜在的问题进行分析，给出合理化建议。</w:t>
      </w:r>
    </w:p>
    <w:p w14:paraId="35FC65B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数据库备份和恢复策略的制定和测试服务，制定数据库备份及恢复策略，提交采购人审核，审核通过后依据制定的策略进行数据库的备份及恢复操作，并提供测试备份有效性的服务。</w:t>
      </w:r>
    </w:p>
    <w:p w14:paraId="4B963B3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数据库备份与恢复策略要求</w:t>
      </w:r>
      <w:r>
        <w:rPr>
          <w:rFonts w:hint="eastAsia" w:ascii="宋体" w:hAnsi="宋体" w:eastAsia="宋体" w:cs="宋体"/>
          <w:color w:val="auto"/>
          <w:sz w:val="24"/>
          <w:szCs w:val="24"/>
          <w:highlight w:val="none"/>
          <w:lang w:eastAsia="zh-CN"/>
        </w:rPr>
        <w:t>：</w:t>
      </w:r>
    </w:p>
    <w:p w14:paraId="52EB135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（1）最大限度地利用现有的软硬件资源。</w:t>
      </w:r>
    </w:p>
    <w:p w14:paraId="7A4665E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（2）保证备份操作最小限度地影响业务环境的性能及安全。</w:t>
      </w:r>
    </w:p>
    <w:p w14:paraId="7213CCD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（3）保证备份是可用于恢复的，即保证备份的有效性。</w:t>
      </w:r>
    </w:p>
    <w:p w14:paraId="52ECCC2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（4）结合不同情况，选用不同的备份和恢复方式。（即搭配组合使用逻辑备份、物理备份、硬件或其他非标准方法等备份和恢复方法应对不同的情况）</w:t>
      </w:r>
    </w:p>
    <w:p w14:paraId="6DF74E9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5）在系统情况改变的时候，修正备份和恢复策略。制定数据库备份及恢复策略，提交备份报告，对备份内容、方式及备份所用时间做出具体说明，如备份不成功应分析原因给出处理方式建议及具体处理办法，保障系统备份任务的正常执行。</w:t>
      </w:r>
    </w:p>
    <w:p w14:paraId="5BA5713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数据库故障响应时间</w:t>
      </w:r>
      <w:r>
        <w:rPr>
          <w:rFonts w:hint="eastAsia" w:ascii="宋体" w:hAnsi="宋体" w:eastAsia="宋体" w:cs="宋体"/>
          <w:color w:val="auto"/>
          <w:sz w:val="24"/>
          <w:szCs w:val="24"/>
          <w:highlight w:val="none"/>
          <w:lang w:eastAsia="zh-CN"/>
        </w:rPr>
        <w:t>：</w:t>
      </w:r>
    </w:p>
    <w:p w14:paraId="770838E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据库故障应在30分钟内响应，2小时内到达现场，在紧急问题情况下（业务系统完全不能访问），需在原有数据库基础上做异地数据库同步镜像，保障对医院业务系统的正常运行的影响降到最低。无法及时到达现场处理故障时应提供远程技术支持，电话支持等方式确保数据库的正常运行。</w:t>
      </w:r>
    </w:p>
    <w:p w14:paraId="738752D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数据库性能优化</w:t>
      </w:r>
    </w:p>
    <w:p w14:paraId="255BA56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当发生以下两种情况时进行数据库的性能调优：</w:t>
      </w:r>
    </w:p>
    <w:p w14:paraId="226AD7D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（1) 业务</w:t>
      </w:r>
      <w:r>
        <w:rPr>
          <w:rFonts w:hint="eastAsia" w:ascii="宋体" w:hAnsi="宋体" w:eastAsia="宋体" w:cs="宋体"/>
          <w:color w:val="auto"/>
          <w:sz w:val="24"/>
          <w:szCs w:val="24"/>
          <w:highlight w:val="none"/>
          <w:lang w:val="en-GB"/>
        </w:rPr>
        <w:t>系统性能出现下降，调取数据库速度慢，工作站经常死机，业务模块应用迟缓等，应及时排查原因，根据实际情况对数据库性能调整或重装数据库。（2) 当前数据库性能不能体现信息系统软、硬件投资的性能价格比，需要现场性能调优。</w:t>
      </w:r>
    </w:p>
    <w:p w14:paraId="3DA00F0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.7</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网络安全运维要求</w:t>
      </w:r>
    </w:p>
    <w:p w14:paraId="1CEBEDA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rPr>
        <w:t>（1）针对</w:t>
      </w:r>
      <w:r>
        <w:rPr>
          <w:rFonts w:hint="eastAsia" w:ascii="宋体" w:hAnsi="宋体" w:eastAsia="宋体" w:cs="宋体"/>
          <w:color w:val="auto"/>
          <w:sz w:val="24"/>
          <w:szCs w:val="24"/>
          <w:highlight w:val="none"/>
          <w:lang w:val="en-US" w:eastAsia="zh-CN"/>
        </w:rPr>
        <w:t>云平台系统隔离与访问控制</w:t>
      </w:r>
      <w:r>
        <w:rPr>
          <w:rFonts w:hint="eastAsia" w:ascii="宋体" w:hAnsi="宋体" w:eastAsia="宋体" w:cs="宋体"/>
          <w:color w:val="auto"/>
          <w:sz w:val="24"/>
          <w:szCs w:val="24"/>
          <w:highlight w:val="none"/>
          <w:lang w:val="en-GB"/>
        </w:rPr>
        <w:t>；使用VPC（虚拟私有云）、子网划分实现租户应用与核心系统的逻辑隔离</w:t>
      </w:r>
      <w:r>
        <w:rPr>
          <w:rFonts w:hint="eastAsia" w:ascii="宋体" w:hAnsi="宋体" w:eastAsia="宋体" w:cs="宋体"/>
          <w:color w:val="auto"/>
          <w:sz w:val="24"/>
          <w:szCs w:val="24"/>
          <w:highlight w:val="none"/>
          <w:lang w:val="en-GB" w:eastAsia="zh-CN"/>
        </w:rPr>
        <w:t>，</w:t>
      </w:r>
      <w:r>
        <w:rPr>
          <w:rFonts w:hint="eastAsia" w:ascii="宋体" w:hAnsi="宋体" w:eastAsia="宋体" w:cs="宋体"/>
          <w:color w:val="auto"/>
          <w:sz w:val="24"/>
          <w:szCs w:val="24"/>
          <w:highlight w:val="none"/>
          <w:lang w:val="en-GB"/>
        </w:rPr>
        <w:t>实施最小权限原则（PoLP），基于角色（RBAC）或属性（ABAC）控制访问</w:t>
      </w:r>
      <w:r>
        <w:rPr>
          <w:rFonts w:hint="eastAsia" w:ascii="宋体" w:hAnsi="宋体" w:eastAsia="宋体" w:cs="宋体"/>
          <w:color w:val="auto"/>
          <w:sz w:val="24"/>
          <w:szCs w:val="24"/>
          <w:highlight w:val="none"/>
          <w:lang w:val="en-GB" w:eastAsia="zh-CN"/>
        </w:rPr>
        <w:t>，引入多因素认证（MFA）机制，强化账户安全。</w:t>
      </w:r>
    </w:p>
    <w:p w14:paraId="4131729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rPr>
        <w:t>（2）</w:t>
      </w:r>
      <w:r>
        <w:rPr>
          <w:rFonts w:hint="eastAsia" w:ascii="宋体" w:hAnsi="宋体" w:eastAsia="宋体" w:cs="宋体"/>
          <w:color w:val="auto"/>
          <w:sz w:val="24"/>
          <w:szCs w:val="24"/>
          <w:highlight w:val="none"/>
          <w:lang w:val="en-US" w:eastAsia="zh-CN"/>
        </w:rPr>
        <w:t>针对平台访问</w:t>
      </w:r>
      <w:r>
        <w:rPr>
          <w:rFonts w:hint="eastAsia" w:ascii="宋体" w:hAnsi="宋体" w:eastAsia="宋体" w:cs="宋体"/>
          <w:color w:val="auto"/>
          <w:sz w:val="24"/>
          <w:szCs w:val="24"/>
          <w:highlight w:val="none"/>
          <w:lang w:val="en-GB"/>
        </w:rPr>
        <w:t>设定源地址、目的地址、源端口、目的端口和协议等相关配置参数</w:t>
      </w:r>
      <w:r>
        <w:rPr>
          <w:rFonts w:hint="eastAsia" w:ascii="宋体" w:hAnsi="宋体" w:eastAsia="宋体" w:cs="宋体"/>
          <w:color w:val="auto"/>
          <w:sz w:val="24"/>
          <w:szCs w:val="24"/>
          <w:highlight w:val="none"/>
          <w:lang w:val="en-GB" w:eastAsia="zh-CN"/>
        </w:rPr>
        <w:t>，</w:t>
      </w:r>
      <w:r>
        <w:rPr>
          <w:rFonts w:hint="eastAsia" w:ascii="宋体" w:hAnsi="宋体" w:eastAsia="宋体" w:cs="宋体"/>
          <w:color w:val="auto"/>
          <w:sz w:val="24"/>
          <w:szCs w:val="24"/>
          <w:highlight w:val="none"/>
          <w:lang w:val="en-GB"/>
        </w:rPr>
        <w:t>针对</w:t>
      </w:r>
      <w:r>
        <w:rPr>
          <w:rFonts w:hint="eastAsia" w:ascii="宋体" w:hAnsi="宋体" w:eastAsia="宋体" w:cs="宋体"/>
          <w:color w:val="auto"/>
          <w:sz w:val="24"/>
          <w:szCs w:val="24"/>
          <w:highlight w:val="none"/>
          <w:lang w:val="en-US" w:eastAsia="zh-CN"/>
        </w:rPr>
        <w:t>云平台</w:t>
      </w:r>
      <w:r>
        <w:rPr>
          <w:rFonts w:hint="eastAsia" w:ascii="宋体" w:hAnsi="宋体" w:eastAsia="宋体" w:cs="宋体"/>
          <w:color w:val="auto"/>
          <w:sz w:val="24"/>
          <w:szCs w:val="24"/>
          <w:highlight w:val="none"/>
          <w:lang w:val="en-GB"/>
        </w:rPr>
        <w:t>进出网络的信息内容进行过滤，实现对应用层HTTP、FTP、SSH、SMTP、POP3等协议命令级的控制</w:t>
      </w:r>
      <w:r>
        <w:rPr>
          <w:rFonts w:hint="eastAsia" w:ascii="宋体" w:hAnsi="宋体" w:eastAsia="宋体" w:cs="宋体"/>
          <w:color w:val="auto"/>
          <w:sz w:val="24"/>
          <w:szCs w:val="24"/>
          <w:highlight w:val="none"/>
          <w:lang w:val="en-GB" w:eastAsia="zh-CN"/>
        </w:rPr>
        <w:t>。</w:t>
      </w:r>
    </w:p>
    <w:p w14:paraId="7961D37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GB"/>
        </w:rPr>
        <w:t>）云平台为业务系统提供堡垒机、日志审计、数据库审计、基线核查、漏洞扫描等可选的安全组件，保障业务系统规范</w:t>
      </w:r>
      <w:r>
        <w:rPr>
          <w:rFonts w:hint="eastAsia" w:ascii="宋体" w:hAnsi="宋体" w:eastAsia="宋体" w:cs="宋体"/>
          <w:color w:val="auto"/>
          <w:sz w:val="24"/>
          <w:szCs w:val="24"/>
          <w:highlight w:val="none"/>
          <w:lang w:val="en-GB" w:eastAsia="zh-CN"/>
        </w:rPr>
        <w:t>，</w:t>
      </w:r>
      <w:r>
        <w:rPr>
          <w:rFonts w:hint="eastAsia" w:ascii="宋体" w:hAnsi="宋体" w:eastAsia="宋体" w:cs="宋体"/>
          <w:color w:val="auto"/>
          <w:sz w:val="24"/>
          <w:szCs w:val="24"/>
          <w:highlight w:val="none"/>
          <w:lang w:val="en-US" w:eastAsia="zh-CN"/>
        </w:rPr>
        <w:t>通过</w:t>
      </w:r>
      <w:r>
        <w:rPr>
          <w:rFonts w:hint="eastAsia" w:ascii="宋体" w:hAnsi="宋体" w:eastAsia="宋体" w:cs="宋体"/>
          <w:color w:val="auto"/>
          <w:sz w:val="24"/>
          <w:szCs w:val="24"/>
          <w:highlight w:val="none"/>
          <w:lang w:val="en-GB"/>
        </w:rPr>
        <w:t>部署业务边界墙（含IPS模块）</w:t>
      </w:r>
      <w:r>
        <w:rPr>
          <w:rFonts w:hint="eastAsia" w:ascii="宋体" w:hAnsi="宋体" w:eastAsia="宋体" w:cs="宋体"/>
          <w:color w:val="auto"/>
          <w:sz w:val="24"/>
          <w:szCs w:val="24"/>
          <w:highlight w:val="none"/>
          <w:lang w:val="en-GB" w:eastAsia="zh-CN"/>
        </w:rPr>
        <w:t>，</w:t>
      </w:r>
      <w:r>
        <w:rPr>
          <w:rFonts w:hint="eastAsia" w:ascii="宋体" w:hAnsi="宋体" w:eastAsia="宋体" w:cs="宋体"/>
          <w:color w:val="auto"/>
          <w:sz w:val="24"/>
          <w:szCs w:val="24"/>
          <w:highlight w:val="none"/>
          <w:lang w:val="en-GB"/>
        </w:rPr>
        <w:t>可对攻击行为进行检测，记录攻击源、类型、时间等内容，</w:t>
      </w:r>
      <w:r>
        <w:rPr>
          <w:rFonts w:hint="eastAsia" w:ascii="宋体" w:hAnsi="宋体" w:eastAsia="宋体" w:cs="宋体"/>
          <w:color w:val="auto"/>
          <w:sz w:val="24"/>
          <w:szCs w:val="24"/>
          <w:highlight w:val="none"/>
          <w:lang w:val="en-US" w:eastAsia="zh-CN"/>
        </w:rPr>
        <w:t>版本库应为最新版本</w:t>
      </w:r>
      <w:r>
        <w:rPr>
          <w:rFonts w:hint="eastAsia" w:ascii="宋体" w:hAnsi="宋体" w:eastAsia="宋体" w:cs="宋体"/>
          <w:color w:val="auto"/>
          <w:sz w:val="24"/>
          <w:szCs w:val="24"/>
          <w:highlight w:val="none"/>
          <w:lang w:val="en-GB"/>
        </w:rPr>
        <w:t>。</w:t>
      </w:r>
    </w:p>
    <w:p w14:paraId="3D52608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GB" w:eastAsia="zh-CN"/>
        </w:rPr>
        <w:t>（</w:t>
      </w:r>
      <w:r>
        <w:rPr>
          <w:rFonts w:hint="eastAsia" w:ascii="宋体" w:hAnsi="宋体" w:eastAsia="宋体" w:cs="宋体"/>
          <w:color w:val="auto"/>
          <w:sz w:val="24"/>
          <w:szCs w:val="24"/>
          <w:highlight w:val="none"/>
          <w:lang w:val="en-US" w:eastAsia="zh-CN"/>
        </w:rPr>
        <w:t>4）云平台服务门户及前端可视化系统应通过江苏省信息技术应用创新医疗产品适配性测试，具备从底层硬件到上层应用的国产化部署能力，确保健康医疗数据存储、传输、应用全流程安全可信。</w:t>
      </w:r>
    </w:p>
    <w:p w14:paraId="2BC4025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GB" w:eastAsia="zh-CN"/>
        </w:rPr>
        <w:t>（</w:t>
      </w:r>
      <w:r>
        <w:rPr>
          <w:rFonts w:hint="eastAsia" w:ascii="宋体" w:hAnsi="宋体" w:eastAsia="宋体" w:cs="宋体"/>
          <w:color w:val="auto"/>
          <w:sz w:val="24"/>
          <w:szCs w:val="24"/>
          <w:highlight w:val="none"/>
          <w:lang w:val="en-US" w:eastAsia="zh-CN"/>
        </w:rPr>
        <w:t>5）云平台需通过中央网信办下发的云计算安全服务评估，在实现平台安全的前提下，确保应用长期稳定运行。</w:t>
      </w:r>
    </w:p>
    <w:p w14:paraId="6FA56A7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GB" w:eastAsia="zh-CN"/>
        </w:rPr>
        <w:t>（</w:t>
      </w:r>
      <w:r>
        <w:rPr>
          <w:rFonts w:hint="eastAsia" w:ascii="宋体" w:hAnsi="宋体" w:eastAsia="宋体" w:cs="宋体"/>
          <w:color w:val="auto"/>
          <w:sz w:val="24"/>
          <w:szCs w:val="24"/>
          <w:highlight w:val="none"/>
          <w:lang w:val="en-US" w:eastAsia="zh-CN"/>
        </w:rPr>
        <w:t>6）云平台需满足《信息安全技术 网络安全等级保护基本要求》（GB/T 22239）三级防护标准，且供应商需已连续三年通过网络安全等级保护三级测评，保障医疗数据隐私及业务系统稳定运行。</w:t>
      </w:r>
    </w:p>
    <w:p w14:paraId="57D65D4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.8</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文档要求</w:t>
      </w:r>
    </w:p>
    <w:p w14:paraId="15454D8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应提交</w:t>
      </w:r>
      <w:r>
        <w:rPr>
          <w:rFonts w:hint="eastAsia" w:ascii="宋体" w:hAnsi="宋体" w:eastAsia="宋体" w:cs="宋体"/>
          <w:color w:val="auto"/>
          <w:sz w:val="24"/>
          <w:szCs w:val="24"/>
          <w:highlight w:val="none"/>
        </w:rPr>
        <w:t>维护过程中产生的维护记录</w:t>
      </w:r>
      <w:r>
        <w:rPr>
          <w:rFonts w:hint="eastAsia" w:ascii="宋体" w:hAnsi="宋体" w:eastAsia="宋体" w:cs="宋体"/>
          <w:color w:val="auto"/>
          <w:sz w:val="24"/>
          <w:szCs w:val="24"/>
          <w:highlight w:val="none"/>
          <w:lang w:eastAsia="zh-CN"/>
        </w:rPr>
        <w:t>，包含但不限于以下内容</w:t>
      </w:r>
      <w:r>
        <w:rPr>
          <w:rFonts w:hint="eastAsia" w:ascii="宋体" w:hAnsi="宋体" w:eastAsia="宋体" w:cs="宋体"/>
          <w:color w:val="auto"/>
          <w:sz w:val="24"/>
          <w:szCs w:val="24"/>
          <w:highlight w:val="none"/>
        </w:rPr>
        <w:t>：</w:t>
      </w:r>
    </w:p>
    <w:p w14:paraId="4EA9288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（1）系统维护中,需要修改程序、发布程序的，应提交程序发布说明</w:t>
      </w:r>
      <w:r>
        <w:rPr>
          <w:rFonts w:hint="eastAsia" w:ascii="宋体" w:hAnsi="宋体" w:eastAsia="宋体" w:cs="宋体"/>
          <w:color w:val="auto"/>
          <w:sz w:val="24"/>
          <w:szCs w:val="24"/>
          <w:highlight w:val="none"/>
          <w:lang w:eastAsia="zh-CN"/>
        </w:rPr>
        <w:t>；</w:t>
      </w:r>
    </w:p>
    <w:p w14:paraId="6E80557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（2）每季度的需求处理记录应汇总成册</w:t>
      </w:r>
      <w:r>
        <w:rPr>
          <w:rFonts w:hint="eastAsia" w:ascii="宋体" w:hAnsi="宋体" w:eastAsia="宋体" w:cs="宋体"/>
          <w:color w:val="auto"/>
          <w:sz w:val="24"/>
          <w:szCs w:val="24"/>
          <w:highlight w:val="none"/>
          <w:lang w:eastAsia="zh-CN"/>
        </w:rPr>
        <w:t>；</w:t>
      </w:r>
    </w:p>
    <w:p w14:paraId="191548C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（3）提供年度服务报告。提供的文档和资料均应以磁介质(或光盘)和纸张为载体，文件格式为Word文档或PDF文档或其他可视化文件。</w:t>
      </w:r>
    </w:p>
    <w:p w14:paraId="29AB9776">
      <w:pPr>
        <w:spacing w:line="360" w:lineRule="auto"/>
        <w:ind w:firstLine="482" w:firstLineChars="200"/>
        <w:contextualSpacing/>
        <w:rPr>
          <w:rFonts w:hint="eastAsia"/>
          <w:b/>
          <w:bCs/>
          <w:sz w:val="24"/>
          <w:lang w:eastAsia="zh-CN"/>
        </w:rPr>
      </w:pPr>
      <w:r>
        <w:rPr>
          <w:rFonts w:hint="eastAsia"/>
          <w:b/>
          <w:bCs/>
          <w:sz w:val="24"/>
          <w:lang w:eastAsia="zh-CN"/>
        </w:rPr>
        <w:t>（二）运维交付物清单</w:t>
      </w:r>
    </w:p>
    <w:tbl>
      <w:tblPr>
        <w:tblStyle w:val="36"/>
        <w:tblW w:w="9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108"/>
        <w:gridCol w:w="1016"/>
        <w:gridCol w:w="2086"/>
        <w:gridCol w:w="2987"/>
        <w:gridCol w:w="1724"/>
      </w:tblGrid>
      <w:tr w14:paraId="33150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3" w:type="dxa"/>
            <w:tcBorders>
              <w:top w:val="single" w:color="auto" w:sz="4" w:space="0"/>
              <w:left w:val="single" w:color="auto" w:sz="4" w:space="0"/>
              <w:bottom w:val="single" w:color="auto" w:sz="4" w:space="0"/>
              <w:right w:val="single" w:color="auto" w:sz="4" w:space="0"/>
            </w:tcBorders>
            <w:shd w:val="clear" w:color="auto" w:fill="auto"/>
            <w:vAlign w:val="center"/>
          </w:tcPr>
          <w:p w14:paraId="01B0D798">
            <w:pPr>
              <w:adjustRightInd w:val="0"/>
              <w:snapToGrid w:val="0"/>
              <w:jc w:val="center"/>
              <w:rPr>
                <w:rFonts w:hint="eastAsia" w:ascii="宋体" w:hAnsi="宋体" w:eastAsia="宋体" w:cs="宋体"/>
                <w:b/>
                <w:bCs/>
                <w:color w:val="auto"/>
                <w:sz w:val="21"/>
                <w:szCs w:val="21"/>
                <w:shd w:val="clear" w:color="auto" w:fill="auto"/>
              </w:rPr>
            </w:pPr>
            <w:r>
              <w:rPr>
                <w:rFonts w:hint="eastAsia" w:ascii="宋体" w:hAnsi="宋体" w:eastAsia="宋体" w:cs="宋体"/>
                <w:b/>
                <w:bCs/>
                <w:color w:val="auto"/>
                <w:sz w:val="21"/>
                <w:szCs w:val="21"/>
                <w:shd w:val="clear" w:color="auto" w:fill="auto"/>
              </w:rPr>
              <w:t>序号</w:t>
            </w:r>
          </w:p>
        </w:tc>
        <w:tc>
          <w:tcPr>
            <w:tcW w:w="1108" w:type="dxa"/>
            <w:tcBorders>
              <w:top w:val="single" w:color="auto" w:sz="4" w:space="0"/>
              <w:left w:val="single" w:color="auto" w:sz="4" w:space="0"/>
              <w:bottom w:val="single" w:color="auto" w:sz="4" w:space="0"/>
              <w:right w:val="single" w:color="auto" w:sz="4" w:space="0"/>
            </w:tcBorders>
            <w:shd w:val="clear" w:color="auto" w:fill="auto"/>
            <w:vAlign w:val="center"/>
          </w:tcPr>
          <w:p w14:paraId="075DBA33">
            <w:pPr>
              <w:adjustRightInd w:val="0"/>
              <w:snapToGrid w:val="0"/>
              <w:jc w:val="center"/>
              <w:rPr>
                <w:rFonts w:hint="eastAsia" w:ascii="宋体" w:hAnsi="宋体" w:eastAsia="宋体" w:cs="宋体"/>
                <w:b/>
                <w:bCs/>
                <w:color w:val="auto"/>
                <w:sz w:val="21"/>
                <w:szCs w:val="21"/>
                <w:shd w:val="clear" w:color="auto" w:fill="auto"/>
              </w:rPr>
            </w:pPr>
            <w:r>
              <w:rPr>
                <w:rFonts w:hint="eastAsia" w:ascii="宋体" w:hAnsi="宋体" w:eastAsia="宋体" w:cs="宋体"/>
                <w:b/>
                <w:bCs/>
                <w:color w:val="auto"/>
                <w:sz w:val="21"/>
                <w:szCs w:val="21"/>
                <w:shd w:val="clear" w:color="auto" w:fill="auto"/>
              </w:rPr>
              <w:t>服务</w:t>
            </w:r>
          </w:p>
          <w:p w14:paraId="2C865BAE">
            <w:pPr>
              <w:adjustRightInd w:val="0"/>
              <w:snapToGrid w:val="0"/>
              <w:jc w:val="center"/>
              <w:rPr>
                <w:rFonts w:hint="eastAsia" w:ascii="宋体" w:hAnsi="宋体" w:eastAsia="宋体" w:cs="宋体"/>
                <w:b/>
                <w:bCs/>
                <w:color w:val="auto"/>
                <w:sz w:val="21"/>
                <w:szCs w:val="21"/>
                <w:shd w:val="clear" w:color="auto" w:fill="auto"/>
              </w:rPr>
            </w:pPr>
            <w:r>
              <w:rPr>
                <w:rFonts w:hint="eastAsia" w:ascii="宋体" w:hAnsi="宋体" w:eastAsia="宋体" w:cs="宋体"/>
                <w:b/>
                <w:bCs/>
                <w:color w:val="auto"/>
                <w:sz w:val="21"/>
                <w:szCs w:val="21"/>
                <w:shd w:val="clear" w:color="auto" w:fill="auto"/>
              </w:rPr>
              <w:t>目录</w:t>
            </w:r>
          </w:p>
        </w:tc>
        <w:tc>
          <w:tcPr>
            <w:tcW w:w="1016" w:type="dxa"/>
            <w:tcBorders>
              <w:top w:val="single" w:color="auto" w:sz="4" w:space="0"/>
              <w:left w:val="single" w:color="auto" w:sz="4" w:space="0"/>
              <w:bottom w:val="single" w:color="auto" w:sz="4" w:space="0"/>
              <w:right w:val="single" w:color="auto" w:sz="4" w:space="0"/>
            </w:tcBorders>
            <w:shd w:val="clear" w:color="auto" w:fill="auto"/>
            <w:vAlign w:val="center"/>
          </w:tcPr>
          <w:p w14:paraId="59F63864">
            <w:pPr>
              <w:adjustRightInd w:val="0"/>
              <w:snapToGrid w:val="0"/>
              <w:jc w:val="center"/>
              <w:rPr>
                <w:rFonts w:hint="eastAsia" w:ascii="宋体" w:hAnsi="宋体" w:eastAsia="宋体" w:cs="宋体"/>
                <w:b/>
                <w:bCs/>
                <w:color w:val="auto"/>
                <w:sz w:val="21"/>
                <w:szCs w:val="21"/>
                <w:shd w:val="clear" w:color="auto" w:fill="auto"/>
              </w:rPr>
            </w:pPr>
            <w:r>
              <w:rPr>
                <w:rFonts w:hint="eastAsia" w:ascii="宋体" w:hAnsi="宋体" w:eastAsia="宋体" w:cs="宋体"/>
                <w:b/>
                <w:bCs/>
                <w:color w:val="auto"/>
                <w:sz w:val="21"/>
                <w:szCs w:val="21"/>
                <w:shd w:val="clear" w:color="auto" w:fill="auto"/>
              </w:rPr>
              <w:t>触发</w:t>
            </w:r>
          </w:p>
          <w:p w14:paraId="1D6D8348">
            <w:pPr>
              <w:adjustRightInd w:val="0"/>
              <w:snapToGrid w:val="0"/>
              <w:jc w:val="center"/>
              <w:rPr>
                <w:rFonts w:hint="eastAsia" w:ascii="宋体" w:hAnsi="宋体" w:eastAsia="宋体" w:cs="宋体"/>
                <w:b/>
                <w:bCs/>
                <w:color w:val="auto"/>
                <w:sz w:val="21"/>
                <w:szCs w:val="21"/>
                <w:shd w:val="clear" w:color="auto" w:fill="auto"/>
              </w:rPr>
            </w:pPr>
            <w:r>
              <w:rPr>
                <w:rFonts w:hint="eastAsia" w:ascii="宋体" w:hAnsi="宋体" w:eastAsia="宋体" w:cs="宋体"/>
                <w:b/>
                <w:bCs/>
                <w:color w:val="auto"/>
                <w:sz w:val="21"/>
                <w:szCs w:val="21"/>
                <w:shd w:val="clear" w:color="auto" w:fill="auto"/>
              </w:rPr>
              <w:t>条件</w:t>
            </w:r>
          </w:p>
        </w:tc>
        <w:tc>
          <w:tcPr>
            <w:tcW w:w="2086" w:type="dxa"/>
            <w:tcBorders>
              <w:top w:val="single" w:color="auto" w:sz="4" w:space="0"/>
              <w:left w:val="single" w:color="auto" w:sz="4" w:space="0"/>
              <w:bottom w:val="single" w:color="auto" w:sz="4" w:space="0"/>
              <w:right w:val="single" w:color="auto" w:sz="4" w:space="0"/>
            </w:tcBorders>
            <w:shd w:val="clear" w:color="auto" w:fill="auto"/>
            <w:vAlign w:val="center"/>
          </w:tcPr>
          <w:p w14:paraId="48D1E9AF">
            <w:pPr>
              <w:adjustRightInd w:val="0"/>
              <w:snapToGrid w:val="0"/>
              <w:jc w:val="center"/>
              <w:rPr>
                <w:rFonts w:hint="eastAsia" w:ascii="宋体" w:hAnsi="宋体" w:eastAsia="宋体" w:cs="宋体"/>
                <w:b/>
                <w:bCs/>
                <w:color w:val="auto"/>
                <w:sz w:val="21"/>
                <w:szCs w:val="21"/>
                <w:shd w:val="clear" w:color="auto" w:fill="auto"/>
              </w:rPr>
            </w:pPr>
            <w:r>
              <w:rPr>
                <w:rFonts w:hint="eastAsia" w:ascii="宋体" w:hAnsi="宋体" w:eastAsia="宋体" w:cs="宋体"/>
                <w:b/>
                <w:bCs/>
                <w:color w:val="auto"/>
                <w:sz w:val="21"/>
                <w:szCs w:val="21"/>
                <w:shd w:val="clear" w:color="auto" w:fill="auto"/>
              </w:rPr>
              <w:t>交付物</w:t>
            </w:r>
          </w:p>
        </w:tc>
        <w:tc>
          <w:tcPr>
            <w:tcW w:w="2987" w:type="dxa"/>
            <w:tcBorders>
              <w:top w:val="single" w:color="auto" w:sz="4" w:space="0"/>
              <w:left w:val="single" w:color="auto" w:sz="4" w:space="0"/>
              <w:bottom w:val="single" w:color="auto" w:sz="4" w:space="0"/>
              <w:right w:val="single" w:color="auto" w:sz="4" w:space="0"/>
            </w:tcBorders>
            <w:shd w:val="clear" w:color="auto" w:fill="auto"/>
            <w:vAlign w:val="center"/>
          </w:tcPr>
          <w:p w14:paraId="19CA214E">
            <w:pPr>
              <w:adjustRightInd w:val="0"/>
              <w:snapToGrid w:val="0"/>
              <w:jc w:val="center"/>
              <w:rPr>
                <w:rFonts w:hint="eastAsia" w:ascii="宋体" w:hAnsi="宋体" w:eastAsia="宋体" w:cs="宋体"/>
                <w:b/>
                <w:bCs/>
                <w:color w:val="auto"/>
                <w:sz w:val="21"/>
                <w:szCs w:val="21"/>
                <w:shd w:val="clear" w:color="auto" w:fill="auto"/>
              </w:rPr>
            </w:pPr>
            <w:r>
              <w:rPr>
                <w:rFonts w:hint="eastAsia" w:ascii="宋体" w:hAnsi="宋体" w:eastAsia="宋体" w:cs="宋体"/>
                <w:b/>
                <w:bCs/>
                <w:color w:val="auto"/>
                <w:sz w:val="21"/>
                <w:szCs w:val="21"/>
                <w:shd w:val="clear" w:color="auto" w:fill="auto"/>
              </w:rPr>
              <w:t>备注</w:t>
            </w:r>
          </w:p>
        </w:tc>
        <w:tc>
          <w:tcPr>
            <w:tcW w:w="1724" w:type="dxa"/>
            <w:tcBorders>
              <w:top w:val="single" w:color="auto" w:sz="4" w:space="0"/>
              <w:left w:val="single" w:color="auto" w:sz="4" w:space="0"/>
              <w:bottom w:val="single" w:color="auto" w:sz="4" w:space="0"/>
              <w:right w:val="single" w:color="auto" w:sz="4" w:space="0"/>
            </w:tcBorders>
            <w:shd w:val="clear" w:color="auto" w:fill="auto"/>
            <w:vAlign w:val="center"/>
          </w:tcPr>
          <w:p w14:paraId="4081CC0A">
            <w:pPr>
              <w:adjustRightInd w:val="0"/>
              <w:snapToGrid w:val="0"/>
              <w:jc w:val="center"/>
              <w:rPr>
                <w:rFonts w:hint="eastAsia" w:ascii="宋体" w:hAnsi="宋体" w:eastAsia="宋体" w:cs="宋体"/>
                <w:b/>
                <w:bCs/>
                <w:color w:val="auto"/>
                <w:sz w:val="21"/>
                <w:szCs w:val="21"/>
                <w:shd w:val="clear" w:color="auto" w:fill="auto"/>
              </w:rPr>
            </w:pPr>
            <w:r>
              <w:rPr>
                <w:rFonts w:hint="eastAsia" w:ascii="宋体" w:hAnsi="宋体" w:eastAsia="宋体" w:cs="宋体"/>
                <w:b/>
                <w:bCs/>
                <w:color w:val="auto"/>
                <w:sz w:val="21"/>
                <w:szCs w:val="21"/>
                <w:shd w:val="clear" w:color="auto" w:fill="auto"/>
              </w:rPr>
              <w:t>交付时效</w:t>
            </w:r>
          </w:p>
        </w:tc>
      </w:tr>
      <w:tr w14:paraId="26FD6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000" w:type="dxa"/>
            <w:gridSpan w:val="5"/>
            <w:tcBorders>
              <w:top w:val="single" w:color="auto" w:sz="4" w:space="0"/>
              <w:left w:val="single" w:color="auto" w:sz="4" w:space="0"/>
              <w:bottom w:val="single" w:color="auto" w:sz="4" w:space="0"/>
              <w:right w:val="single" w:color="auto" w:sz="4" w:space="0"/>
            </w:tcBorders>
            <w:vAlign w:val="center"/>
          </w:tcPr>
          <w:p w14:paraId="545E5C05">
            <w:pPr>
              <w:widowControl/>
              <w:adjustRightInd w:val="0"/>
              <w:snapToGrid w:val="0"/>
              <w:jc w:val="left"/>
              <w:rPr>
                <w:rFonts w:hint="eastAsia" w:ascii="宋体" w:hAnsi="宋体" w:eastAsia="宋体" w:cs="宋体"/>
                <w:color w:val="auto"/>
                <w:sz w:val="21"/>
                <w:szCs w:val="21"/>
              </w:rPr>
            </w:pPr>
            <w:r>
              <w:rPr>
                <w:rFonts w:hint="eastAsia" w:ascii="宋体" w:hAnsi="宋体" w:eastAsia="宋体" w:cs="宋体"/>
                <w:b/>
                <w:color w:val="auto"/>
                <w:sz w:val="21"/>
                <w:szCs w:val="21"/>
              </w:rPr>
              <w:t>巡检类</w:t>
            </w:r>
          </w:p>
        </w:tc>
        <w:tc>
          <w:tcPr>
            <w:tcW w:w="1724" w:type="dxa"/>
            <w:tcBorders>
              <w:top w:val="single" w:color="auto" w:sz="4" w:space="0"/>
              <w:left w:val="single" w:color="auto" w:sz="4" w:space="0"/>
              <w:bottom w:val="single" w:color="auto" w:sz="4" w:space="0"/>
              <w:right w:val="single" w:color="auto" w:sz="4" w:space="0"/>
            </w:tcBorders>
          </w:tcPr>
          <w:p w14:paraId="6ADB4A24">
            <w:pPr>
              <w:widowControl/>
              <w:adjustRightInd w:val="0"/>
              <w:snapToGrid w:val="0"/>
              <w:jc w:val="left"/>
              <w:rPr>
                <w:rFonts w:hint="eastAsia" w:ascii="宋体" w:hAnsi="宋体" w:eastAsia="宋体" w:cs="宋体"/>
                <w:b/>
                <w:color w:val="auto"/>
                <w:sz w:val="21"/>
                <w:szCs w:val="21"/>
              </w:rPr>
            </w:pPr>
          </w:p>
        </w:tc>
      </w:tr>
      <w:tr w14:paraId="071F3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3" w:type="dxa"/>
            <w:tcBorders>
              <w:top w:val="single" w:color="auto" w:sz="4" w:space="0"/>
              <w:left w:val="single" w:color="auto" w:sz="4" w:space="0"/>
              <w:bottom w:val="single" w:color="auto" w:sz="4" w:space="0"/>
              <w:right w:val="single" w:color="auto" w:sz="4" w:space="0"/>
            </w:tcBorders>
            <w:vAlign w:val="center"/>
          </w:tcPr>
          <w:p w14:paraId="55585590">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108" w:type="dxa"/>
            <w:tcBorders>
              <w:top w:val="single" w:color="auto" w:sz="4" w:space="0"/>
              <w:left w:val="single" w:color="auto" w:sz="4" w:space="0"/>
              <w:bottom w:val="single" w:color="auto" w:sz="4" w:space="0"/>
              <w:right w:val="single" w:color="auto" w:sz="4" w:space="0"/>
            </w:tcBorders>
            <w:vAlign w:val="center"/>
          </w:tcPr>
          <w:p w14:paraId="2A2374E1">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日常巡检</w:t>
            </w:r>
          </w:p>
        </w:tc>
        <w:tc>
          <w:tcPr>
            <w:tcW w:w="1016" w:type="dxa"/>
            <w:tcBorders>
              <w:top w:val="single" w:color="auto" w:sz="4" w:space="0"/>
              <w:left w:val="single" w:color="auto" w:sz="4" w:space="0"/>
              <w:bottom w:val="single" w:color="auto" w:sz="4" w:space="0"/>
              <w:right w:val="single" w:color="auto" w:sz="4" w:space="0"/>
            </w:tcBorders>
            <w:vAlign w:val="center"/>
          </w:tcPr>
          <w:p w14:paraId="7B8B2169">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每天</w:t>
            </w:r>
          </w:p>
        </w:tc>
        <w:tc>
          <w:tcPr>
            <w:tcW w:w="2086" w:type="dxa"/>
            <w:tcBorders>
              <w:top w:val="single" w:color="auto" w:sz="4" w:space="0"/>
              <w:left w:val="single" w:color="auto" w:sz="4" w:space="0"/>
              <w:bottom w:val="single" w:color="auto" w:sz="4" w:space="0"/>
              <w:right w:val="single" w:color="auto" w:sz="4" w:space="0"/>
            </w:tcBorders>
            <w:vAlign w:val="center"/>
          </w:tcPr>
          <w:p w14:paraId="303CF251">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每日巡检记录</w:t>
            </w:r>
          </w:p>
        </w:tc>
        <w:tc>
          <w:tcPr>
            <w:tcW w:w="2987" w:type="dxa"/>
            <w:tcBorders>
              <w:top w:val="single" w:color="auto" w:sz="4" w:space="0"/>
              <w:left w:val="single" w:color="auto" w:sz="4" w:space="0"/>
              <w:bottom w:val="single" w:color="auto" w:sz="4" w:space="0"/>
              <w:right w:val="single" w:color="auto" w:sz="4" w:space="0"/>
            </w:tcBorders>
            <w:vAlign w:val="center"/>
          </w:tcPr>
          <w:p w14:paraId="510A58A3">
            <w:pPr>
              <w:adjustRightInd w:val="0"/>
              <w:snapToGrid w:val="0"/>
              <w:rPr>
                <w:rFonts w:hint="eastAsia" w:ascii="宋体" w:hAnsi="宋体" w:eastAsia="宋体" w:cs="宋体"/>
                <w:color w:val="auto"/>
                <w:sz w:val="21"/>
                <w:szCs w:val="21"/>
              </w:rPr>
            </w:pPr>
            <w:r>
              <w:rPr>
                <w:rFonts w:hint="eastAsia" w:ascii="宋体" w:hAnsi="宋体" w:eastAsia="宋体" w:cs="宋体"/>
                <w:color w:val="auto"/>
                <w:sz w:val="21"/>
                <w:szCs w:val="21"/>
              </w:rPr>
              <w:t>包括设备功能是否正常。每周一记录CPU、内存等设备信息</w:t>
            </w:r>
          </w:p>
        </w:tc>
        <w:tc>
          <w:tcPr>
            <w:tcW w:w="1724" w:type="dxa"/>
            <w:tcBorders>
              <w:top w:val="single" w:color="auto" w:sz="4" w:space="0"/>
              <w:left w:val="single" w:color="auto" w:sz="4" w:space="0"/>
              <w:bottom w:val="single" w:color="auto" w:sz="4" w:space="0"/>
              <w:right w:val="single" w:color="auto" w:sz="4" w:space="0"/>
            </w:tcBorders>
            <w:vAlign w:val="center"/>
          </w:tcPr>
          <w:p w14:paraId="3BE8E846">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当天</w:t>
            </w:r>
          </w:p>
        </w:tc>
      </w:tr>
      <w:tr w14:paraId="3DC3B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3" w:type="dxa"/>
            <w:tcBorders>
              <w:top w:val="single" w:color="auto" w:sz="4" w:space="0"/>
              <w:left w:val="single" w:color="auto" w:sz="4" w:space="0"/>
              <w:bottom w:val="single" w:color="auto" w:sz="4" w:space="0"/>
              <w:right w:val="single" w:color="auto" w:sz="4" w:space="0"/>
            </w:tcBorders>
            <w:vAlign w:val="center"/>
          </w:tcPr>
          <w:p w14:paraId="3F388DDA">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108" w:type="dxa"/>
            <w:tcBorders>
              <w:top w:val="single" w:color="auto" w:sz="4" w:space="0"/>
              <w:left w:val="single" w:color="auto" w:sz="4" w:space="0"/>
              <w:bottom w:val="single" w:color="auto" w:sz="4" w:space="0"/>
              <w:right w:val="single" w:color="auto" w:sz="4" w:space="0"/>
            </w:tcBorders>
            <w:vAlign w:val="center"/>
          </w:tcPr>
          <w:p w14:paraId="0417570C">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月度巡检</w:t>
            </w:r>
          </w:p>
        </w:tc>
        <w:tc>
          <w:tcPr>
            <w:tcW w:w="1016" w:type="dxa"/>
            <w:tcBorders>
              <w:top w:val="single" w:color="auto" w:sz="4" w:space="0"/>
              <w:left w:val="single" w:color="auto" w:sz="4" w:space="0"/>
              <w:bottom w:val="single" w:color="auto" w:sz="4" w:space="0"/>
              <w:right w:val="single" w:color="auto" w:sz="4" w:space="0"/>
            </w:tcBorders>
            <w:vAlign w:val="center"/>
          </w:tcPr>
          <w:p w14:paraId="61DE9F87">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每月</w:t>
            </w:r>
          </w:p>
        </w:tc>
        <w:tc>
          <w:tcPr>
            <w:tcW w:w="2086" w:type="dxa"/>
            <w:tcBorders>
              <w:top w:val="single" w:color="auto" w:sz="4" w:space="0"/>
              <w:left w:val="single" w:color="auto" w:sz="4" w:space="0"/>
              <w:bottom w:val="single" w:color="auto" w:sz="4" w:space="0"/>
              <w:right w:val="single" w:color="auto" w:sz="4" w:space="0"/>
            </w:tcBorders>
            <w:vAlign w:val="center"/>
          </w:tcPr>
          <w:p w14:paraId="3EAABD8C">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月度巡检报告</w:t>
            </w:r>
          </w:p>
        </w:tc>
        <w:tc>
          <w:tcPr>
            <w:tcW w:w="2987" w:type="dxa"/>
            <w:tcBorders>
              <w:top w:val="single" w:color="auto" w:sz="4" w:space="0"/>
              <w:left w:val="single" w:color="auto" w:sz="4" w:space="0"/>
              <w:bottom w:val="single" w:color="auto" w:sz="4" w:space="0"/>
              <w:right w:val="single" w:color="auto" w:sz="4" w:space="0"/>
            </w:tcBorders>
            <w:vAlign w:val="center"/>
          </w:tcPr>
          <w:p w14:paraId="49DA5A82">
            <w:pPr>
              <w:adjustRightInd w:val="0"/>
              <w:snapToGrid w:val="0"/>
              <w:rPr>
                <w:rFonts w:hint="eastAsia" w:ascii="宋体" w:hAnsi="宋体" w:eastAsia="宋体" w:cs="宋体"/>
                <w:color w:val="auto"/>
                <w:sz w:val="21"/>
                <w:szCs w:val="21"/>
              </w:rPr>
            </w:pPr>
            <w:r>
              <w:rPr>
                <w:rFonts w:hint="eastAsia" w:ascii="宋体" w:hAnsi="宋体" w:eastAsia="宋体" w:cs="宋体"/>
                <w:color w:val="auto"/>
                <w:sz w:val="21"/>
                <w:szCs w:val="21"/>
              </w:rPr>
              <w:t>包括系统功能是否正工作日常，当月故障情况记录以及月度考核情况</w:t>
            </w:r>
          </w:p>
        </w:tc>
        <w:tc>
          <w:tcPr>
            <w:tcW w:w="1724" w:type="dxa"/>
            <w:tcBorders>
              <w:top w:val="single" w:color="auto" w:sz="4" w:space="0"/>
              <w:left w:val="single" w:color="auto" w:sz="4" w:space="0"/>
              <w:bottom w:val="single" w:color="auto" w:sz="4" w:space="0"/>
              <w:right w:val="single" w:color="auto" w:sz="4" w:space="0"/>
            </w:tcBorders>
            <w:vAlign w:val="center"/>
          </w:tcPr>
          <w:p w14:paraId="0BA3D3E1">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下一个月第五个工作日内</w:t>
            </w:r>
          </w:p>
        </w:tc>
      </w:tr>
      <w:tr w14:paraId="0C779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3" w:type="dxa"/>
            <w:tcBorders>
              <w:top w:val="single" w:color="auto" w:sz="4" w:space="0"/>
              <w:left w:val="single" w:color="auto" w:sz="4" w:space="0"/>
              <w:bottom w:val="single" w:color="auto" w:sz="4" w:space="0"/>
              <w:right w:val="single" w:color="auto" w:sz="4" w:space="0"/>
            </w:tcBorders>
            <w:vAlign w:val="center"/>
          </w:tcPr>
          <w:p w14:paraId="68EBF8FE">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1108" w:type="dxa"/>
            <w:tcBorders>
              <w:top w:val="single" w:color="auto" w:sz="4" w:space="0"/>
              <w:left w:val="single" w:color="auto" w:sz="4" w:space="0"/>
              <w:bottom w:val="single" w:color="auto" w:sz="4" w:space="0"/>
              <w:right w:val="single" w:color="auto" w:sz="4" w:space="0"/>
            </w:tcBorders>
            <w:vAlign w:val="center"/>
          </w:tcPr>
          <w:p w14:paraId="4C2DBE25">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年度巡检</w:t>
            </w:r>
          </w:p>
        </w:tc>
        <w:tc>
          <w:tcPr>
            <w:tcW w:w="1016" w:type="dxa"/>
            <w:tcBorders>
              <w:top w:val="single" w:color="auto" w:sz="4" w:space="0"/>
              <w:left w:val="single" w:color="auto" w:sz="4" w:space="0"/>
              <w:bottom w:val="single" w:color="auto" w:sz="4" w:space="0"/>
              <w:right w:val="single" w:color="auto" w:sz="4" w:space="0"/>
            </w:tcBorders>
            <w:vAlign w:val="center"/>
          </w:tcPr>
          <w:p w14:paraId="4DCCE14D">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每半年</w:t>
            </w:r>
          </w:p>
        </w:tc>
        <w:tc>
          <w:tcPr>
            <w:tcW w:w="2086" w:type="dxa"/>
            <w:tcBorders>
              <w:top w:val="single" w:color="auto" w:sz="4" w:space="0"/>
              <w:left w:val="single" w:color="auto" w:sz="4" w:space="0"/>
              <w:bottom w:val="single" w:color="auto" w:sz="4" w:space="0"/>
              <w:right w:val="single" w:color="auto" w:sz="4" w:space="0"/>
            </w:tcBorders>
            <w:vAlign w:val="center"/>
          </w:tcPr>
          <w:p w14:paraId="1279646D">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半年度运维报告</w:t>
            </w:r>
          </w:p>
        </w:tc>
        <w:tc>
          <w:tcPr>
            <w:tcW w:w="2987" w:type="dxa"/>
            <w:tcBorders>
              <w:top w:val="single" w:color="auto" w:sz="4" w:space="0"/>
              <w:left w:val="single" w:color="auto" w:sz="4" w:space="0"/>
              <w:bottom w:val="single" w:color="auto" w:sz="4" w:space="0"/>
              <w:right w:val="single" w:color="auto" w:sz="4" w:space="0"/>
            </w:tcBorders>
            <w:vAlign w:val="center"/>
          </w:tcPr>
          <w:p w14:paraId="56517060">
            <w:pPr>
              <w:adjustRightInd w:val="0"/>
              <w:snapToGrid w:val="0"/>
              <w:rPr>
                <w:rFonts w:hint="eastAsia" w:ascii="宋体" w:hAnsi="宋体" w:eastAsia="宋体" w:cs="宋体"/>
                <w:color w:val="auto"/>
                <w:sz w:val="21"/>
                <w:szCs w:val="21"/>
              </w:rPr>
            </w:pPr>
            <w:r>
              <w:rPr>
                <w:rFonts w:hint="eastAsia" w:ascii="宋体" w:hAnsi="宋体" w:eastAsia="宋体" w:cs="宋体"/>
                <w:color w:val="auto"/>
                <w:sz w:val="21"/>
                <w:szCs w:val="21"/>
              </w:rPr>
              <w:t>包括</w:t>
            </w:r>
            <w:r>
              <w:rPr>
                <w:rFonts w:hint="eastAsia" w:ascii="宋体" w:hAnsi="宋体" w:eastAsia="宋体" w:cs="宋体"/>
                <w:color w:val="auto"/>
                <w:sz w:val="21"/>
                <w:szCs w:val="21"/>
                <w:lang w:val="zh-CN"/>
              </w:rPr>
              <w:t>故障分析、应对建议，年度运维情况总结等。</w:t>
            </w:r>
          </w:p>
        </w:tc>
        <w:tc>
          <w:tcPr>
            <w:tcW w:w="1724" w:type="dxa"/>
            <w:tcBorders>
              <w:top w:val="single" w:color="auto" w:sz="4" w:space="0"/>
              <w:left w:val="single" w:color="auto" w:sz="4" w:space="0"/>
              <w:bottom w:val="single" w:color="auto" w:sz="4" w:space="0"/>
              <w:right w:val="single" w:color="auto" w:sz="4" w:space="0"/>
            </w:tcBorders>
          </w:tcPr>
          <w:p w14:paraId="096EC3E8">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完成运维工作六个月、十二个月后两个工作日内</w:t>
            </w:r>
          </w:p>
        </w:tc>
      </w:tr>
      <w:tr w14:paraId="622AA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0" w:type="dxa"/>
            <w:gridSpan w:val="5"/>
            <w:tcBorders>
              <w:top w:val="single" w:color="auto" w:sz="4" w:space="0"/>
              <w:left w:val="single" w:color="auto" w:sz="4" w:space="0"/>
              <w:bottom w:val="single" w:color="auto" w:sz="4" w:space="0"/>
              <w:right w:val="single" w:color="auto" w:sz="4" w:space="0"/>
            </w:tcBorders>
            <w:vAlign w:val="center"/>
          </w:tcPr>
          <w:p w14:paraId="07225A8A">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故障处理类</w:t>
            </w:r>
          </w:p>
        </w:tc>
        <w:tc>
          <w:tcPr>
            <w:tcW w:w="1724" w:type="dxa"/>
            <w:tcBorders>
              <w:top w:val="single" w:color="auto" w:sz="4" w:space="0"/>
              <w:left w:val="single" w:color="auto" w:sz="4" w:space="0"/>
              <w:bottom w:val="single" w:color="auto" w:sz="4" w:space="0"/>
              <w:right w:val="single" w:color="auto" w:sz="4" w:space="0"/>
            </w:tcBorders>
          </w:tcPr>
          <w:p w14:paraId="76C5324A">
            <w:pPr>
              <w:adjustRightInd w:val="0"/>
              <w:snapToGrid w:val="0"/>
              <w:spacing w:line="360" w:lineRule="auto"/>
              <w:jc w:val="center"/>
              <w:rPr>
                <w:rFonts w:hint="eastAsia" w:ascii="宋体" w:hAnsi="宋体" w:eastAsia="宋体" w:cs="宋体"/>
                <w:b/>
                <w:color w:val="auto"/>
                <w:sz w:val="21"/>
                <w:szCs w:val="21"/>
              </w:rPr>
            </w:pPr>
          </w:p>
        </w:tc>
      </w:tr>
      <w:tr w14:paraId="15825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3" w:type="dxa"/>
            <w:tcBorders>
              <w:top w:val="single" w:color="auto" w:sz="4" w:space="0"/>
              <w:left w:val="single" w:color="auto" w:sz="4" w:space="0"/>
              <w:bottom w:val="single" w:color="auto" w:sz="4" w:space="0"/>
              <w:right w:val="single" w:color="auto" w:sz="4" w:space="0"/>
            </w:tcBorders>
            <w:vAlign w:val="center"/>
          </w:tcPr>
          <w:p w14:paraId="611F615C">
            <w:pPr>
              <w:adjustRightInd w:val="0"/>
              <w:snapToGrid w:val="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1108" w:type="dxa"/>
            <w:tcBorders>
              <w:top w:val="single" w:color="auto" w:sz="4" w:space="0"/>
              <w:left w:val="single" w:color="auto" w:sz="4" w:space="0"/>
              <w:bottom w:val="single" w:color="auto" w:sz="4" w:space="0"/>
              <w:right w:val="single" w:color="auto" w:sz="4" w:space="0"/>
            </w:tcBorders>
            <w:vAlign w:val="center"/>
          </w:tcPr>
          <w:p w14:paraId="7E355E15">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系统故障响应</w:t>
            </w:r>
          </w:p>
        </w:tc>
        <w:tc>
          <w:tcPr>
            <w:tcW w:w="1016" w:type="dxa"/>
            <w:tcBorders>
              <w:top w:val="single" w:color="auto" w:sz="4" w:space="0"/>
              <w:left w:val="single" w:color="auto" w:sz="4" w:space="0"/>
              <w:bottom w:val="single" w:color="auto" w:sz="4" w:space="0"/>
              <w:right w:val="single" w:color="auto" w:sz="4" w:space="0"/>
            </w:tcBorders>
            <w:vAlign w:val="center"/>
          </w:tcPr>
          <w:p w14:paraId="3A56E2FF">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系统产生故障</w:t>
            </w:r>
          </w:p>
        </w:tc>
        <w:tc>
          <w:tcPr>
            <w:tcW w:w="2086" w:type="dxa"/>
            <w:tcBorders>
              <w:top w:val="single" w:color="auto" w:sz="4" w:space="0"/>
              <w:left w:val="single" w:color="auto" w:sz="4" w:space="0"/>
              <w:bottom w:val="single" w:color="auto" w:sz="4" w:space="0"/>
              <w:right w:val="single" w:color="auto" w:sz="4" w:space="0"/>
            </w:tcBorders>
            <w:vAlign w:val="center"/>
          </w:tcPr>
          <w:p w14:paraId="6BEF90C5">
            <w:pPr>
              <w:widowControl/>
              <w:jc w:val="center"/>
              <w:rPr>
                <w:rFonts w:hint="eastAsia" w:ascii="宋体" w:hAnsi="宋体" w:eastAsia="宋体" w:cs="宋体"/>
                <w:color w:val="auto"/>
                <w:sz w:val="21"/>
                <w:szCs w:val="21"/>
              </w:rPr>
            </w:pPr>
          </w:p>
        </w:tc>
        <w:tc>
          <w:tcPr>
            <w:tcW w:w="2987" w:type="dxa"/>
            <w:tcBorders>
              <w:top w:val="single" w:color="auto" w:sz="4" w:space="0"/>
              <w:left w:val="single" w:color="auto" w:sz="4" w:space="0"/>
              <w:bottom w:val="single" w:color="auto" w:sz="4" w:space="0"/>
              <w:right w:val="single" w:color="auto" w:sz="4" w:space="0"/>
            </w:tcBorders>
            <w:vAlign w:val="center"/>
          </w:tcPr>
          <w:p w14:paraId="46926D28">
            <w:pPr>
              <w:adjustRightInd w:val="0"/>
              <w:snapToGrid w:val="0"/>
              <w:jc w:val="both"/>
              <w:rPr>
                <w:rFonts w:hint="eastAsia" w:ascii="宋体" w:hAnsi="宋体" w:eastAsia="宋体" w:cs="宋体"/>
                <w:color w:val="auto"/>
                <w:sz w:val="21"/>
                <w:szCs w:val="21"/>
              </w:rPr>
            </w:pPr>
            <w:r>
              <w:rPr>
                <w:rFonts w:hint="eastAsia" w:ascii="宋体" w:hAnsi="宋体" w:eastAsia="宋体" w:cs="宋体"/>
                <w:color w:val="auto"/>
                <w:sz w:val="21"/>
                <w:szCs w:val="21"/>
              </w:rPr>
              <w:t>故障报验单需包括故障发生情况、发生时间、故障处理人、预计故障处理时间。</w:t>
            </w:r>
          </w:p>
          <w:p w14:paraId="31758A27">
            <w:pPr>
              <w:widowControl/>
              <w:jc w:val="both"/>
              <w:rPr>
                <w:rFonts w:hint="eastAsia" w:ascii="宋体" w:hAnsi="宋体" w:eastAsia="宋体" w:cs="宋体"/>
                <w:color w:val="auto"/>
                <w:sz w:val="21"/>
                <w:szCs w:val="21"/>
              </w:rPr>
            </w:pPr>
            <w:r>
              <w:rPr>
                <w:rFonts w:hint="eastAsia" w:ascii="宋体" w:hAnsi="宋体" w:eastAsia="宋体" w:cs="宋体"/>
                <w:color w:val="auto"/>
                <w:sz w:val="21"/>
                <w:szCs w:val="21"/>
              </w:rPr>
              <w:t>故障处理报告需包括故障发生情况、发生时间、影响程度、故障处理人、故障解决情况说明等。输出纸质报告。</w:t>
            </w:r>
          </w:p>
        </w:tc>
        <w:tc>
          <w:tcPr>
            <w:tcW w:w="1724" w:type="dxa"/>
            <w:tcBorders>
              <w:top w:val="single" w:color="auto" w:sz="4" w:space="0"/>
              <w:left w:val="single" w:color="auto" w:sz="4" w:space="0"/>
              <w:bottom w:val="single" w:color="auto" w:sz="4" w:space="0"/>
              <w:right w:val="single" w:color="auto" w:sz="4" w:space="0"/>
            </w:tcBorders>
            <w:vAlign w:val="center"/>
          </w:tcPr>
          <w:p w14:paraId="4052FBE4">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故障处理完成后两个工作日内</w:t>
            </w:r>
          </w:p>
        </w:tc>
      </w:tr>
      <w:tr w14:paraId="2FEC0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0" w:type="dxa"/>
            <w:gridSpan w:val="5"/>
            <w:tcBorders>
              <w:top w:val="single" w:color="auto" w:sz="4" w:space="0"/>
              <w:left w:val="single" w:color="auto" w:sz="4" w:space="0"/>
              <w:bottom w:val="single" w:color="auto" w:sz="4" w:space="0"/>
              <w:right w:val="single" w:color="auto" w:sz="4" w:space="0"/>
            </w:tcBorders>
            <w:vAlign w:val="center"/>
          </w:tcPr>
          <w:p w14:paraId="1992E949">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专业培训类</w:t>
            </w:r>
          </w:p>
        </w:tc>
        <w:tc>
          <w:tcPr>
            <w:tcW w:w="1724" w:type="dxa"/>
            <w:tcBorders>
              <w:top w:val="single" w:color="auto" w:sz="4" w:space="0"/>
              <w:left w:val="single" w:color="auto" w:sz="4" w:space="0"/>
              <w:bottom w:val="single" w:color="auto" w:sz="4" w:space="0"/>
              <w:right w:val="single" w:color="auto" w:sz="4" w:space="0"/>
            </w:tcBorders>
          </w:tcPr>
          <w:p w14:paraId="27E05A5D">
            <w:pPr>
              <w:adjustRightInd w:val="0"/>
              <w:snapToGrid w:val="0"/>
              <w:spacing w:line="360" w:lineRule="auto"/>
              <w:jc w:val="center"/>
              <w:rPr>
                <w:rFonts w:hint="eastAsia" w:ascii="宋体" w:hAnsi="宋体" w:eastAsia="宋体" w:cs="宋体"/>
                <w:b/>
                <w:color w:val="auto"/>
                <w:sz w:val="21"/>
                <w:szCs w:val="21"/>
              </w:rPr>
            </w:pPr>
          </w:p>
        </w:tc>
      </w:tr>
      <w:tr w14:paraId="419C8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3" w:type="dxa"/>
            <w:tcBorders>
              <w:top w:val="single" w:color="auto" w:sz="4" w:space="0"/>
              <w:left w:val="single" w:color="auto" w:sz="4" w:space="0"/>
              <w:bottom w:val="single" w:color="auto" w:sz="4" w:space="0"/>
              <w:right w:val="single" w:color="auto" w:sz="4" w:space="0"/>
            </w:tcBorders>
            <w:vAlign w:val="center"/>
          </w:tcPr>
          <w:p w14:paraId="20804260">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108" w:type="dxa"/>
            <w:tcBorders>
              <w:top w:val="single" w:color="auto" w:sz="4" w:space="0"/>
              <w:left w:val="single" w:color="auto" w:sz="4" w:space="0"/>
              <w:bottom w:val="single" w:color="auto" w:sz="4" w:space="0"/>
              <w:right w:val="single" w:color="auto" w:sz="4" w:space="0"/>
            </w:tcBorders>
            <w:vAlign w:val="center"/>
          </w:tcPr>
          <w:p w14:paraId="7A3B7A85">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专业培训</w:t>
            </w:r>
          </w:p>
        </w:tc>
        <w:tc>
          <w:tcPr>
            <w:tcW w:w="1016" w:type="dxa"/>
            <w:tcBorders>
              <w:top w:val="single" w:color="auto" w:sz="4" w:space="0"/>
              <w:left w:val="single" w:color="auto" w:sz="4" w:space="0"/>
              <w:bottom w:val="single" w:color="auto" w:sz="4" w:space="0"/>
              <w:right w:val="single" w:color="auto" w:sz="4" w:space="0"/>
            </w:tcBorders>
            <w:vAlign w:val="center"/>
          </w:tcPr>
          <w:p w14:paraId="2D1FFDAA">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共完成两次</w:t>
            </w:r>
          </w:p>
        </w:tc>
        <w:tc>
          <w:tcPr>
            <w:tcW w:w="2086" w:type="dxa"/>
            <w:tcBorders>
              <w:top w:val="single" w:color="auto" w:sz="4" w:space="0"/>
              <w:left w:val="single" w:color="auto" w:sz="4" w:space="0"/>
              <w:bottom w:val="single" w:color="auto" w:sz="4" w:space="0"/>
              <w:right w:val="single" w:color="auto" w:sz="4" w:space="0"/>
            </w:tcBorders>
            <w:vAlign w:val="center"/>
          </w:tcPr>
          <w:p w14:paraId="440A6281">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培训记录表</w:t>
            </w:r>
          </w:p>
        </w:tc>
        <w:tc>
          <w:tcPr>
            <w:tcW w:w="2987" w:type="dxa"/>
            <w:tcBorders>
              <w:top w:val="single" w:color="auto" w:sz="4" w:space="0"/>
              <w:left w:val="single" w:color="auto" w:sz="4" w:space="0"/>
              <w:bottom w:val="single" w:color="auto" w:sz="4" w:space="0"/>
              <w:right w:val="single" w:color="auto" w:sz="4" w:space="0"/>
            </w:tcBorders>
            <w:vAlign w:val="center"/>
          </w:tcPr>
          <w:p w14:paraId="33F22DD3">
            <w:pPr>
              <w:keepNext w:val="0"/>
              <w:keepLines w:val="0"/>
              <w:pageBreakBefore w:val="0"/>
              <w:widowControl w:val="0"/>
              <w:kinsoku/>
              <w:wordWrap/>
              <w:overflowPunct/>
              <w:topLinePunct w:val="0"/>
              <w:autoSpaceDE/>
              <w:autoSpaceDN/>
              <w:bidi w:val="0"/>
              <w:adjustRightInd w:val="0"/>
              <w:snapToGrid w:val="0"/>
              <w:jc w:val="both"/>
              <w:textAlignment w:val="auto"/>
              <w:rPr>
                <w:rFonts w:hint="eastAsia" w:ascii="宋体" w:hAnsi="宋体" w:eastAsia="宋体" w:cs="宋体"/>
                <w:b/>
                <w:color w:val="auto"/>
                <w:sz w:val="21"/>
                <w:szCs w:val="21"/>
              </w:rPr>
            </w:pPr>
            <w:r>
              <w:rPr>
                <w:rFonts w:hint="eastAsia" w:ascii="宋体" w:hAnsi="宋体" w:eastAsia="宋体" w:cs="宋体"/>
                <w:color w:val="auto"/>
                <w:sz w:val="21"/>
                <w:szCs w:val="21"/>
              </w:rPr>
              <w:t>公司组织对驻场人员专业培训</w:t>
            </w:r>
          </w:p>
        </w:tc>
        <w:tc>
          <w:tcPr>
            <w:tcW w:w="1724" w:type="dxa"/>
            <w:tcBorders>
              <w:top w:val="single" w:color="auto" w:sz="4" w:space="0"/>
              <w:left w:val="single" w:color="auto" w:sz="4" w:space="0"/>
              <w:bottom w:val="single" w:color="auto" w:sz="4" w:space="0"/>
              <w:right w:val="single" w:color="auto" w:sz="4" w:space="0"/>
            </w:tcBorders>
            <w:vAlign w:val="center"/>
          </w:tcPr>
          <w:p w14:paraId="427A4C13">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培训完成后两个工作日内</w:t>
            </w:r>
          </w:p>
        </w:tc>
      </w:tr>
      <w:tr w14:paraId="684DC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8000" w:type="dxa"/>
            <w:gridSpan w:val="5"/>
            <w:tcBorders>
              <w:top w:val="single" w:color="auto" w:sz="4" w:space="0"/>
              <w:left w:val="single" w:color="auto" w:sz="4" w:space="0"/>
              <w:bottom w:val="single" w:color="auto" w:sz="4" w:space="0"/>
              <w:right w:val="single" w:color="auto" w:sz="4" w:space="0"/>
            </w:tcBorders>
            <w:vAlign w:val="center"/>
          </w:tcPr>
          <w:p w14:paraId="3E4CB166">
            <w:pPr>
              <w:adjustRightInd w:val="0"/>
              <w:snapToGrid w:val="0"/>
              <w:rPr>
                <w:rFonts w:hint="eastAsia" w:ascii="宋体" w:hAnsi="宋体" w:eastAsia="宋体" w:cs="宋体"/>
                <w:b/>
                <w:color w:val="auto"/>
                <w:sz w:val="21"/>
                <w:szCs w:val="21"/>
              </w:rPr>
            </w:pPr>
            <w:r>
              <w:rPr>
                <w:rFonts w:hint="eastAsia" w:ascii="宋体" w:hAnsi="宋体" w:eastAsia="宋体" w:cs="宋体"/>
                <w:b/>
                <w:color w:val="auto"/>
                <w:sz w:val="21"/>
                <w:szCs w:val="21"/>
              </w:rPr>
              <w:t>技术咨询类</w:t>
            </w:r>
          </w:p>
        </w:tc>
        <w:tc>
          <w:tcPr>
            <w:tcW w:w="1724" w:type="dxa"/>
            <w:tcBorders>
              <w:top w:val="single" w:color="auto" w:sz="4" w:space="0"/>
              <w:left w:val="single" w:color="auto" w:sz="4" w:space="0"/>
              <w:bottom w:val="single" w:color="auto" w:sz="4" w:space="0"/>
              <w:right w:val="single" w:color="auto" w:sz="4" w:space="0"/>
            </w:tcBorders>
          </w:tcPr>
          <w:p w14:paraId="0D0DB39D">
            <w:pPr>
              <w:adjustRightInd w:val="0"/>
              <w:snapToGrid w:val="0"/>
              <w:rPr>
                <w:rFonts w:hint="eastAsia" w:ascii="宋体" w:hAnsi="宋体" w:eastAsia="宋体" w:cs="宋体"/>
                <w:color w:val="auto"/>
                <w:sz w:val="21"/>
                <w:szCs w:val="21"/>
              </w:rPr>
            </w:pPr>
          </w:p>
        </w:tc>
      </w:tr>
      <w:tr w14:paraId="01314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03" w:type="dxa"/>
            <w:tcBorders>
              <w:top w:val="single" w:color="auto" w:sz="4" w:space="0"/>
              <w:left w:val="single" w:color="auto" w:sz="4" w:space="0"/>
              <w:bottom w:val="single" w:color="auto" w:sz="4" w:space="0"/>
              <w:right w:val="single" w:color="auto" w:sz="4" w:space="0"/>
            </w:tcBorders>
            <w:vAlign w:val="center"/>
          </w:tcPr>
          <w:p w14:paraId="1E3EB5A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108" w:type="dxa"/>
            <w:tcBorders>
              <w:top w:val="single" w:color="auto" w:sz="4" w:space="0"/>
              <w:left w:val="single" w:color="auto" w:sz="4" w:space="0"/>
              <w:bottom w:val="single" w:color="auto" w:sz="4" w:space="0"/>
              <w:right w:val="single" w:color="auto" w:sz="4" w:space="0"/>
            </w:tcBorders>
            <w:vAlign w:val="center"/>
          </w:tcPr>
          <w:p w14:paraId="2D4C513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技术咨询</w:t>
            </w:r>
          </w:p>
        </w:tc>
        <w:tc>
          <w:tcPr>
            <w:tcW w:w="1016" w:type="dxa"/>
            <w:tcBorders>
              <w:top w:val="single" w:color="auto" w:sz="4" w:space="0"/>
              <w:left w:val="single" w:color="auto" w:sz="4" w:space="0"/>
              <w:bottom w:val="single" w:color="auto" w:sz="4" w:space="0"/>
              <w:right w:val="single" w:color="auto" w:sz="4" w:space="0"/>
            </w:tcBorders>
            <w:vAlign w:val="center"/>
          </w:tcPr>
          <w:p w14:paraId="611A4BC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用户有需求时</w:t>
            </w:r>
          </w:p>
        </w:tc>
        <w:tc>
          <w:tcPr>
            <w:tcW w:w="2086" w:type="dxa"/>
            <w:tcBorders>
              <w:top w:val="single" w:color="auto" w:sz="4" w:space="0"/>
              <w:left w:val="single" w:color="auto" w:sz="4" w:space="0"/>
              <w:bottom w:val="single" w:color="auto" w:sz="4" w:space="0"/>
              <w:right w:val="single" w:color="auto" w:sz="4" w:space="0"/>
            </w:tcBorders>
            <w:vAlign w:val="center"/>
          </w:tcPr>
          <w:p w14:paraId="12CB1A4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技术方案、建议、系统升级说明</w:t>
            </w:r>
          </w:p>
        </w:tc>
        <w:tc>
          <w:tcPr>
            <w:tcW w:w="2987" w:type="dxa"/>
            <w:tcBorders>
              <w:top w:val="single" w:color="auto" w:sz="4" w:space="0"/>
              <w:left w:val="single" w:color="auto" w:sz="4" w:space="0"/>
              <w:bottom w:val="single" w:color="auto" w:sz="4" w:space="0"/>
              <w:right w:val="single" w:color="auto" w:sz="4" w:space="0"/>
            </w:tcBorders>
            <w:vAlign w:val="center"/>
          </w:tcPr>
          <w:p w14:paraId="73C4903A">
            <w:pPr>
              <w:keepNext w:val="0"/>
              <w:keepLines w:val="0"/>
              <w:pageBreakBefore w:val="0"/>
              <w:widowControl w:val="0"/>
              <w:kinsoku/>
              <w:wordWrap/>
              <w:overflowPunct/>
              <w:topLinePunct w:val="0"/>
              <w:autoSpaceDE/>
              <w:autoSpaceDN/>
              <w:bidi w:val="0"/>
              <w:adjustRightInd w:val="0"/>
              <w:snapToGrid w:val="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zh-CN"/>
              </w:rPr>
              <w:t>响应用户提出的技术咨询，对技术升级改造方案提出建议。</w:t>
            </w:r>
          </w:p>
        </w:tc>
        <w:tc>
          <w:tcPr>
            <w:tcW w:w="1724" w:type="dxa"/>
            <w:tcBorders>
              <w:top w:val="single" w:color="auto" w:sz="4" w:space="0"/>
              <w:left w:val="single" w:color="auto" w:sz="4" w:space="0"/>
              <w:bottom w:val="single" w:color="auto" w:sz="4" w:space="0"/>
              <w:right w:val="single" w:color="auto" w:sz="4" w:space="0"/>
            </w:tcBorders>
            <w:vAlign w:val="center"/>
          </w:tcPr>
          <w:p w14:paraId="663B90F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升级实施前</w:t>
            </w:r>
          </w:p>
        </w:tc>
      </w:tr>
      <w:tr w14:paraId="2F98C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8000" w:type="dxa"/>
            <w:gridSpan w:val="5"/>
            <w:tcBorders>
              <w:top w:val="single" w:color="auto" w:sz="4" w:space="0"/>
              <w:left w:val="single" w:color="auto" w:sz="4" w:space="0"/>
              <w:bottom w:val="single" w:color="auto" w:sz="4" w:space="0"/>
              <w:right w:val="single" w:color="auto" w:sz="4" w:space="0"/>
            </w:tcBorders>
            <w:vAlign w:val="center"/>
          </w:tcPr>
          <w:p w14:paraId="1A3A32CC">
            <w:pPr>
              <w:adjustRightInd w:val="0"/>
              <w:snapToGrid w:val="0"/>
              <w:rPr>
                <w:rFonts w:hint="eastAsia" w:ascii="宋体" w:hAnsi="宋体" w:eastAsia="宋体" w:cs="宋体"/>
                <w:b/>
                <w:color w:val="auto"/>
                <w:sz w:val="21"/>
                <w:szCs w:val="21"/>
              </w:rPr>
            </w:pPr>
            <w:r>
              <w:rPr>
                <w:rFonts w:hint="eastAsia" w:ascii="宋体" w:hAnsi="宋体" w:eastAsia="宋体" w:cs="宋体"/>
                <w:b/>
                <w:color w:val="auto"/>
                <w:sz w:val="21"/>
                <w:szCs w:val="21"/>
              </w:rPr>
              <w:t>人员名单</w:t>
            </w:r>
          </w:p>
        </w:tc>
        <w:tc>
          <w:tcPr>
            <w:tcW w:w="1724" w:type="dxa"/>
            <w:tcBorders>
              <w:top w:val="single" w:color="auto" w:sz="4" w:space="0"/>
              <w:left w:val="single" w:color="auto" w:sz="4" w:space="0"/>
              <w:bottom w:val="single" w:color="auto" w:sz="4" w:space="0"/>
              <w:right w:val="single" w:color="auto" w:sz="4" w:space="0"/>
            </w:tcBorders>
          </w:tcPr>
          <w:p w14:paraId="339B1C29">
            <w:pPr>
              <w:adjustRightInd w:val="0"/>
              <w:snapToGrid w:val="0"/>
              <w:jc w:val="center"/>
              <w:rPr>
                <w:rFonts w:hint="eastAsia" w:ascii="宋体" w:hAnsi="宋体" w:eastAsia="宋体" w:cs="宋体"/>
                <w:color w:val="auto"/>
                <w:sz w:val="21"/>
                <w:szCs w:val="21"/>
              </w:rPr>
            </w:pPr>
          </w:p>
        </w:tc>
      </w:tr>
      <w:tr w14:paraId="7333C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jc w:val="center"/>
        </w:trPr>
        <w:tc>
          <w:tcPr>
            <w:tcW w:w="803" w:type="dxa"/>
            <w:tcBorders>
              <w:top w:val="single" w:color="auto" w:sz="4" w:space="0"/>
              <w:left w:val="single" w:color="auto" w:sz="4" w:space="0"/>
              <w:bottom w:val="single" w:color="auto" w:sz="4" w:space="0"/>
              <w:right w:val="single" w:color="auto" w:sz="4" w:space="0"/>
            </w:tcBorders>
            <w:vAlign w:val="center"/>
          </w:tcPr>
          <w:p w14:paraId="71014AEE">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108" w:type="dxa"/>
            <w:tcBorders>
              <w:top w:val="single" w:color="auto" w:sz="4" w:space="0"/>
              <w:left w:val="single" w:color="auto" w:sz="4" w:space="0"/>
              <w:bottom w:val="single" w:color="auto" w:sz="4" w:space="0"/>
              <w:right w:val="single" w:color="auto" w:sz="4" w:space="0"/>
            </w:tcBorders>
            <w:vAlign w:val="center"/>
          </w:tcPr>
          <w:p w14:paraId="0C7E667D">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人员名单</w:t>
            </w:r>
          </w:p>
        </w:tc>
        <w:tc>
          <w:tcPr>
            <w:tcW w:w="1016" w:type="dxa"/>
            <w:tcBorders>
              <w:top w:val="single" w:color="auto" w:sz="4" w:space="0"/>
              <w:left w:val="single" w:color="auto" w:sz="4" w:space="0"/>
              <w:bottom w:val="single" w:color="auto" w:sz="4" w:space="0"/>
              <w:right w:val="single" w:color="auto" w:sz="4" w:space="0"/>
            </w:tcBorders>
            <w:vAlign w:val="center"/>
          </w:tcPr>
          <w:p w14:paraId="3C2658DB">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维保实施前</w:t>
            </w:r>
          </w:p>
        </w:tc>
        <w:tc>
          <w:tcPr>
            <w:tcW w:w="2086" w:type="dxa"/>
            <w:tcBorders>
              <w:top w:val="single" w:color="auto" w:sz="4" w:space="0"/>
              <w:left w:val="single" w:color="auto" w:sz="4" w:space="0"/>
              <w:bottom w:val="single" w:color="auto" w:sz="4" w:space="0"/>
              <w:right w:val="single" w:color="auto" w:sz="4" w:space="0"/>
            </w:tcBorders>
            <w:vAlign w:val="center"/>
          </w:tcPr>
          <w:p w14:paraId="56529F86">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运维人员名单</w:t>
            </w:r>
          </w:p>
        </w:tc>
        <w:tc>
          <w:tcPr>
            <w:tcW w:w="2987" w:type="dxa"/>
            <w:tcBorders>
              <w:top w:val="single" w:color="auto" w:sz="4" w:space="0"/>
              <w:left w:val="single" w:color="auto" w:sz="4" w:space="0"/>
              <w:bottom w:val="single" w:color="auto" w:sz="4" w:space="0"/>
              <w:right w:val="single" w:color="auto" w:sz="4" w:space="0"/>
            </w:tcBorders>
            <w:vAlign w:val="center"/>
          </w:tcPr>
          <w:p w14:paraId="381BFFA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人员姓名及联系方式</w:t>
            </w:r>
          </w:p>
        </w:tc>
        <w:tc>
          <w:tcPr>
            <w:tcW w:w="1724" w:type="dxa"/>
            <w:tcBorders>
              <w:top w:val="single" w:color="auto" w:sz="4" w:space="0"/>
              <w:left w:val="single" w:color="auto" w:sz="4" w:space="0"/>
              <w:bottom w:val="single" w:color="auto" w:sz="4" w:space="0"/>
              <w:right w:val="single" w:color="auto" w:sz="4" w:space="0"/>
            </w:tcBorders>
            <w:vAlign w:val="center"/>
          </w:tcPr>
          <w:p w14:paraId="0A32D2B2">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维保实施前提供</w:t>
            </w:r>
          </w:p>
        </w:tc>
      </w:tr>
      <w:tr w14:paraId="26CCA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8000" w:type="dxa"/>
            <w:gridSpan w:val="5"/>
            <w:tcBorders>
              <w:top w:val="single" w:color="auto" w:sz="4" w:space="0"/>
              <w:left w:val="single" w:color="auto" w:sz="4" w:space="0"/>
              <w:bottom w:val="single" w:color="auto" w:sz="4" w:space="0"/>
              <w:right w:val="single" w:color="auto" w:sz="4" w:space="0"/>
            </w:tcBorders>
            <w:vAlign w:val="center"/>
          </w:tcPr>
          <w:p w14:paraId="31E1557F">
            <w:pPr>
              <w:adjustRightInd w:val="0"/>
              <w:snapToGrid w:val="0"/>
              <w:rPr>
                <w:rFonts w:hint="eastAsia" w:ascii="宋体" w:hAnsi="宋体" w:eastAsia="宋体" w:cs="宋体"/>
                <w:b/>
                <w:color w:val="auto"/>
                <w:sz w:val="21"/>
                <w:szCs w:val="21"/>
              </w:rPr>
            </w:pPr>
            <w:r>
              <w:rPr>
                <w:rFonts w:hint="eastAsia" w:ascii="宋体" w:hAnsi="宋体" w:eastAsia="宋体" w:cs="宋体"/>
                <w:b/>
                <w:color w:val="auto"/>
                <w:sz w:val="21"/>
                <w:szCs w:val="21"/>
              </w:rPr>
              <w:t>网络测试</w:t>
            </w:r>
          </w:p>
        </w:tc>
        <w:tc>
          <w:tcPr>
            <w:tcW w:w="1724" w:type="dxa"/>
            <w:tcBorders>
              <w:top w:val="single" w:color="auto" w:sz="4" w:space="0"/>
              <w:left w:val="single" w:color="auto" w:sz="4" w:space="0"/>
              <w:bottom w:val="single" w:color="auto" w:sz="4" w:space="0"/>
              <w:right w:val="single" w:color="auto" w:sz="4" w:space="0"/>
            </w:tcBorders>
          </w:tcPr>
          <w:p w14:paraId="3D457ED3">
            <w:pPr>
              <w:adjustRightInd w:val="0"/>
              <w:snapToGrid w:val="0"/>
              <w:jc w:val="center"/>
              <w:rPr>
                <w:rFonts w:hint="eastAsia" w:ascii="宋体" w:hAnsi="宋体" w:eastAsia="宋体" w:cs="宋体"/>
                <w:color w:val="auto"/>
                <w:sz w:val="21"/>
                <w:szCs w:val="21"/>
              </w:rPr>
            </w:pPr>
          </w:p>
        </w:tc>
      </w:tr>
      <w:tr w14:paraId="18BD0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03" w:type="dxa"/>
            <w:tcBorders>
              <w:top w:val="single" w:color="auto" w:sz="4" w:space="0"/>
              <w:left w:val="single" w:color="auto" w:sz="4" w:space="0"/>
              <w:bottom w:val="single" w:color="auto" w:sz="4" w:space="0"/>
              <w:right w:val="single" w:color="auto" w:sz="4" w:space="0"/>
            </w:tcBorders>
            <w:vAlign w:val="center"/>
          </w:tcPr>
          <w:p w14:paraId="0EED541A">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108" w:type="dxa"/>
            <w:tcBorders>
              <w:top w:val="single" w:color="auto" w:sz="4" w:space="0"/>
              <w:left w:val="single" w:color="auto" w:sz="4" w:space="0"/>
              <w:bottom w:val="single" w:color="auto" w:sz="4" w:space="0"/>
              <w:right w:val="single" w:color="auto" w:sz="4" w:space="0"/>
            </w:tcBorders>
            <w:vAlign w:val="center"/>
          </w:tcPr>
          <w:p w14:paraId="3E9A3CEC">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网络测试数据</w:t>
            </w:r>
          </w:p>
        </w:tc>
        <w:tc>
          <w:tcPr>
            <w:tcW w:w="1016" w:type="dxa"/>
            <w:tcBorders>
              <w:top w:val="single" w:color="auto" w:sz="4" w:space="0"/>
              <w:left w:val="single" w:color="auto" w:sz="4" w:space="0"/>
              <w:bottom w:val="single" w:color="auto" w:sz="4" w:space="0"/>
              <w:right w:val="single" w:color="auto" w:sz="4" w:space="0"/>
            </w:tcBorders>
            <w:vAlign w:val="center"/>
          </w:tcPr>
          <w:p w14:paraId="4AC23BB2">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维保实施前</w:t>
            </w:r>
          </w:p>
        </w:tc>
        <w:tc>
          <w:tcPr>
            <w:tcW w:w="2086" w:type="dxa"/>
            <w:tcBorders>
              <w:top w:val="single" w:color="auto" w:sz="4" w:space="0"/>
              <w:left w:val="single" w:color="auto" w:sz="4" w:space="0"/>
              <w:bottom w:val="single" w:color="auto" w:sz="4" w:space="0"/>
              <w:right w:val="single" w:color="auto" w:sz="4" w:space="0"/>
            </w:tcBorders>
            <w:vAlign w:val="center"/>
          </w:tcPr>
          <w:p w14:paraId="4F855603">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网络测试数据</w:t>
            </w:r>
          </w:p>
        </w:tc>
        <w:tc>
          <w:tcPr>
            <w:tcW w:w="2987" w:type="dxa"/>
            <w:tcBorders>
              <w:top w:val="single" w:color="auto" w:sz="4" w:space="0"/>
              <w:left w:val="single" w:color="auto" w:sz="4" w:space="0"/>
              <w:bottom w:val="single" w:color="auto" w:sz="4" w:space="0"/>
              <w:right w:val="single" w:color="auto" w:sz="4" w:space="0"/>
            </w:tcBorders>
            <w:vAlign w:val="center"/>
          </w:tcPr>
          <w:p w14:paraId="3CA7EB43">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Ping包丢包率、时延</w:t>
            </w:r>
          </w:p>
        </w:tc>
        <w:tc>
          <w:tcPr>
            <w:tcW w:w="1724" w:type="dxa"/>
            <w:tcBorders>
              <w:top w:val="single" w:color="auto" w:sz="4" w:space="0"/>
              <w:left w:val="single" w:color="auto" w:sz="4" w:space="0"/>
              <w:bottom w:val="single" w:color="auto" w:sz="4" w:space="0"/>
              <w:right w:val="single" w:color="auto" w:sz="4" w:space="0"/>
            </w:tcBorders>
            <w:vAlign w:val="center"/>
          </w:tcPr>
          <w:p w14:paraId="6B26D840">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维保实施前提供</w:t>
            </w:r>
          </w:p>
        </w:tc>
      </w:tr>
      <w:tr w14:paraId="056C5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03" w:type="dxa"/>
            <w:tcBorders>
              <w:top w:val="single" w:color="auto" w:sz="4" w:space="0"/>
              <w:left w:val="single" w:color="auto" w:sz="4" w:space="0"/>
              <w:bottom w:val="single" w:color="auto" w:sz="4" w:space="0"/>
              <w:right w:val="single" w:color="auto" w:sz="4" w:space="0"/>
            </w:tcBorders>
            <w:vAlign w:val="center"/>
          </w:tcPr>
          <w:p w14:paraId="5FCA32B0">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108" w:type="dxa"/>
            <w:tcBorders>
              <w:top w:val="single" w:color="auto" w:sz="4" w:space="0"/>
              <w:left w:val="single" w:color="auto" w:sz="4" w:space="0"/>
              <w:bottom w:val="single" w:color="auto" w:sz="4" w:space="0"/>
              <w:right w:val="single" w:color="auto" w:sz="4" w:space="0"/>
            </w:tcBorders>
            <w:vAlign w:val="center"/>
          </w:tcPr>
          <w:p w14:paraId="59DC9FFA">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网络隐患排查测试计划</w:t>
            </w:r>
          </w:p>
        </w:tc>
        <w:tc>
          <w:tcPr>
            <w:tcW w:w="1016" w:type="dxa"/>
            <w:tcBorders>
              <w:top w:val="single" w:color="auto" w:sz="4" w:space="0"/>
              <w:left w:val="single" w:color="auto" w:sz="4" w:space="0"/>
              <w:bottom w:val="single" w:color="auto" w:sz="4" w:space="0"/>
              <w:right w:val="single" w:color="auto" w:sz="4" w:space="0"/>
            </w:tcBorders>
            <w:vAlign w:val="center"/>
          </w:tcPr>
          <w:p w14:paraId="261A6D45">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预计</w:t>
            </w:r>
          </w:p>
          <w:p w14:paraId="60F105D4">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6-8</w:t>
            </w:r>
            <w:r>
              <w:rPr>
                <w:rFonts w:hint="eastAsia" w:ascii="宋体" w:hAnsi="宋体" w:eastAsia="宋体" w:cs="宋体"/>
                <w:color w:val="auto"/>
                <w:sz w:val="21"/>
                <w:szCs w:val="21"/>
              </w:rPr>
              <w:t>月间</w:t>
            </w:r>
          </w:p>
        </w:tc>
        <w:tc>
          <w:tcPr>
            <w:tcW w:w="2086" w:type="dxa"/>
            <w:tcBorders>
              <w:top w:val="single" w:color="auto" w:sz="4" w:space="0"/>
              <w:left w:val="single" w:color="auto" w:sz="4" w:space="0"/>
              <w:bottom w:val="single" w:color="auto" w:sz="4" w:space="0"/>
              <w:right w:val="single" w:color="auto" w:sz="4" w:space="0"/>
            </w:tcBorders>
            <w:vAlign w:val="center"/>
          </w:tcPr>
          <w:p w14:paraId="221C8756">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网络隐患排查测试报告</w:t>
            </w:r>
          </w:p>
        </w:tc>
        <w:tc>
          <w:tcPr>
            <w:tcW w:w="2987" w:type="dxa"/>
            <w:tcBorders>
              <w:top w:val="single" w:color="auto" w:sz="4" w:space="0"/>
              <w:left w:val="single" w:color="auto" w:sz="4" w:space="0"/>
              <w:bottom w:val="single" w:color="auto" w:sz="4" w:space="0"/>
              <w:right w:val="single" w:color="auto" w:sz="4" w:space="0"/>
            </w:tcBorders>
            <w:vAlign w:val="center"/>
          </w:tcPr>
          <w:p w14:paraId="43EA5061">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主备链路倒换测试、中心服务器断网测试</w:t>
            </w:r>
          </w:p>
        </w:tc>
        <w:tc>
          <w:tcPr>
            <w:tcW w:w="1724" w:type="dxa"/>
            <w:tcBorders>
              <w:top w:val="single" w:color="auto" w:sz="4" w:space="0"/>
              <w:left w:val="single" w:color="auto" w:sz="4" w:space="0"/>
              <w:bottom w:val="single" w:color="auto" w:sz="4" w:space="0"/>
              <w:right w:val="single" w:color="auto" w:sz="4" w:space="0"/>
            </w:tcBorders>
            <w:vAlign w:val="center"/>
          </w:tcPr>
          <w:p w14:paraId="6FCF9E67">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排查测试两个工作日内</w:t>
            </w:r>
          </w:p>
        </w:tc>
      </w:tr>
    </w:tbl>
    <w:p w14:paraId="3B1951E1">
      <w:pPr>
        <w:spacing w:line="360" w:lineRule="auto"/>
        <w:ind w:firstLine="482" w:firstLineChars="200"/>
        <w:contextualSpacing/>
        <w:rPr>
          <w:b/>
          <w:bCs/>
          <w:i/>
          <w:iCs/>
          <w:sz w:val="24"/>
        </w:rPr>
      </w:pPr>
      <w:r>
        <w:rPr>
          <w:rFonts w:hint="eastAsia"/>
          <w:b/>
          <w:bCs/>
          <w:sz w:val="24"/>
          <w:lang w:eastAsia="zh-CN"/>
        </w:rPr>
        <w:t>四、</w:t>
      </w:r>
      <w:r>
        <w:rPr>
          <w:b/>
          <w:bCs/>
          <w:sz w:val="24"/>
        </w:rPr>
        <w:t>验收标准</w:t>
      </w:r>
    </w:p>
    <w:p w14:paraId="60B2F145">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b/>
          <w:color w:val="auto"/>
          <w:sz w:val="36"/>
          <w:szCs w:val="36"/>
          <w:highlight w:val="none"/>
        </w:rPr>
      </w:pPr>
      <w:r>
        <w:rPr>
          <w:rFonts w:hint="eastAsia"/>
          <w:b w:val="0"/>
          <w:bCs/>
          <w:color w:val="auto"/>
          <w:sz w:val="24"/>
          <w:szCs w:val="24"/>
          <w:highlight w:val="none"/>
          <w:lang w:eastAsia="zh-CN"/>
        </w:rPr>
        <w:t>由采购人组织验收，要求</w:t>
      </w:r>
      <w:r>
        <w:rPr>
          <w:rFonts w:hint="eastAsia"/>
          <w:b w:val="0"/>
          <w:bCs/>
          <w:color w:val="auto"/>
          <w:sz w:val="24"/>
          <w:szCs w:val="24"/>
          <w:highlight w:val="none"/>
        </w:rPr>
        <w:t>全年系统无重大故障，各项运维服务达标，年度运维总结报告通过审核</w:t>
      </w:r>
      <w:r>
        <w:rPr>
          <w:rFonts w:hint="eastAsia"/>
          <w:b w:val="0"/>
          <w:bCs/>
          <w:color w:val="auto"/>
          <w:sz w:val="24"/>
          <w:szCs w:val="24"/>
          <w:highlight w:val="none"/>
          <w:lang w:eastAsia="zh-CN"/>
        </w:rPr>
        <w:t>。</w:t>
      </w:r>
      <w:r>
        <w:rPr>
          <w:b/>
          <w:color w:val="auto"/>
          <w:sz w:val="36"/>
          <w:szCs w:val="36"/>
          <w:highlight w:val="none"/>
        </w:rPr>
        <w:br w:type="page"/>
      </w:r>
    </w:p>
    <w:p w14:paraId="252EF43C">
      <w:pPr>
        <w:spacing w:line="360" w:lineRule="auto"/>
        <w:jc w:val="center"/>
        <w:outlineLvl w:val="0"/>
        <w:rPr>
          <w:b/>
          <w:color w:val="auto"/>
          <w:sz w:val="36"/>
          <w:szCs w:val="36"/>
          <w:highlight w:val="none"/>
        </w:rPr>
      </w:pPr>
      <w:r>
        <w:rPr>
          <w:b/>
          <w:color w:val="auto"/>
          <w:sz w:val="36"/>
          <w:szCs w:val="36"/>
          <w:highlight w:val="none"/>
        </w:rPr>
        <w:t>第五章   合同草案条款</w:t>
      </w:r>
      <w:bookmarkEnd w:id="676"/>
    </w:p>
    <w:p w14:paraId="4B23BAD6">
      <w:pPr>
        <w:snapToGrid w:val="0"/>
        <w:spacing w:before="156" w:beforeLines="50" w:after="156" w:afterLines="50"/>
        <w:jc w:val="center"/>
        <w:outlineLvl w:val="0"/>
        <w:rPr>
          <w:rFonts w:ascii="宋体" w:hAnsi="宋体"/>
          <w:b/>
          <w:bCs/>
          <w:sz w:val="30"/>
          <w:szCs w:val="20"/>
        </w:rPr>
      </w:pPr>
      <w:r>
        <w:rPr>
          <w:rFonts w:hint="eastAsia" w:ascii="宋体" w:hAnsi="宋体"/>
          <w:b/>
          <w:sz w:val="30"/>
          <w:szCs w:val="21"/>
        </w:rPr>
        <w:t>常州市政府采购合同（合同编号）</w:t>
      </w:r>
    </w:p>
    <w:p w14:paraId="5BBD7830">
      <w:pPr>
        <w:keepNext w:val="0"/>
        <w:keepLines w:val="0"/>
        <w:pageBreakBefore w:val="0"/>
        <w:widowControl w:val="0"/>
        <w:kinsoku/>
        <w:wordWrap/>
        <w:overflowPunct/>
        <w:topLinePunct w:val="0"/>
        <w:autoSpaceDE/>
        <w:autoSpaceDN/>
        <w:bidi w:val="0"/>
        <w:adjustRightInd/>
        <w:snapToGrid w:val="0"/>
        <w:spacing w:line="240" w:lineRule="exact"/>
        <w:ind w:left="0" w:leftChars="0" w:firstLine="480" w:firstLineChars="200"/>
        <w:jc w:val="both"/>
        <w:textAlignment w:val="auto"/>
        <w:outlineLvl w:val="9"/>
        <w:rPr>
          <w:rFonts w:hint="eastAsia" w:ascii="宋体" w:hAnsi="宋体" w:eastAsia="宋体" w:cs="宋体"/>
          <w:sz w:val="24"/>
          <w:szCs w:val="24"/>
        </w:rPr>
      </w:pPr>
    </w:p>
    <w:p w14:paraId="12799793">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项目名称：                                       项目编号：</w:t>
      </w:r>
    </w:p>
    <w:p w14:paraId="050D2972">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甲方：（买方）_________</w:t>
      </w:r>
    </w:p>
    <w:p w14:paraId="6FD108BD">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乙方：（卖方）_________</w:t>
      </w:r>
    </w:p>
    <w:p w14:paraId="049DF442">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b/>
          <w:sz w:val="24"/>
          <w:szCs w:val="24"/>
        </w:rPr>
      </w:pPr>
      <w:r>
        <w:rPr>
          <w:rFonts w:hint="eastAsia" w:ascii="宋体" w:hAnsi="宋体" w:eastAsia="宋体" w:cs="宋体"/>
          <w:sz w:val="24"/>
          <w:szCs w:val="24"/>
        </w:rPr>
        <w:t>甲、乙双方根据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项目竞争性磋商的结果，签署本合同。</w:t>
      </w:r>
    </w:p>
    <w:p w14:paraId="0DA49A44">
      <w:pPr>
        <w:keepNext w:val="0"/>
        <w:keepLines w:val="0"/>
        <w:pageBreakBefore w:val="0"/>
        <w:widowControl w:val="0"/>
        <w:kinsoku/>
        <w:wordWrap/>
        <w:overflowPunct/>
        <w:topLinePunct w:val="0"/>
        <w:autoSpaceDE/>
        <w:autoSpaceDN/>
        <w:bidi w:val="0"/>
        <w:adjustRightInd/>
        <w:snapToGrid w:val="0"/>
        <w:spacing w:line="460" w:lineRule="exact"/>
        <w:ind w:left="0" w:leftChars="0" w:firstLine="482" w:firstLineChars="200"/>
        <w:jc w:val="both"/>
        <w:textAlignment w:val="auto"/>
        <w:outlineLvl w:val="9"/>
        <w:rPr>
          <w:rFonts w:hint="eastAsia" w:ascii="宋体" w:hAnsi="宋体" w:eastAsia="宋体" w:cs="宋体"/>
          <w:b/>
          <w:sz w:val="24"/>
          <w:szCs w:val="24"/>
        </w:rPr>
      </w:pPr>
      <w:r>
        <w:rPr>
          <w:rFonts w:hint="eastAsia" w:ascii="宋体" w:hAnsi="宋体" w:eastAsia="宋体" w:cs="宋体"/>
          <w:b/>
          <w:sz w:val="24"/>
          <w:szCs w:val="24"/>
        </w:rPr>
        <w:t>一、合同内容</w:t>
      </w:r>
    </w:p>
    <w:p w14:paraId="7658D2A1">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1.1 标的名称：</w:t>
      </w:r>
    </w:p>
    <w:p w14:paraId="26933432">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1.2 标的质量：</w:t>
      </w:r>
    </w:p>
    <w:p w14:paraId="64115595">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1.3 标的数量（规模）：</w:t>
      </w:r>
    </w:p>
    <w:p w14:paraId="3B0E8075">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1.4 履行时间（期限）：</w:t>
      </w:r>
    </w:p>
    <w:p w14:paraId="0D32D719">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1.5 履行地点：</w:t>
      </w:r>
    </w:p>
    <w:p w14:paraId="248D2FDE">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1.6 履行方式：</w:t>
      </w:r>
    </w:p>
    <w:p w14:paraId="1547708C">
      <w:pPr>
        <w:keepNext w:val="0"/>
        <w:keepLines w:val="0"/>
        <w:pageBreakBefore w:val="0"/>
        <w:widowControl w:val="0"/>
        <w:kinsoku/>
        <w:wordWrap/>
        <w:overflowPunct/>
        <w:topLinePunct w:val="0"/>
        <w:autoSpaceDE/>
        <w:autoSpaceDN/>
        <w:bidi w:val="0"/>
        <w:adjustRightInd/>
        <w:snapToGrid w:val="0"/>
        <w:spacing w:line="460" w:lineRule="exact"/>
        <w:ind w:left="0" w:leftChars="0" w:firstLine="482" w:firstLineChars="200"/>
        <w:jc w:val="both"/>
        <w:textAlignment w:val="auto"/>
        <w:outlineLvl w:val="9"/>
        <w:rPr>
          <w:rFonts w:hint="eastAsia" w:ascii="宋体" w:hAnsi="宋体" w:eastAsia="宋体" w:cs="宋体"/>
          <w:b/>
          <w:sz w:val="24"/>
          <w:szCs w:val="24"/>
        </w:rPr>
      </w:pPr>
      <w:r>
        <w:rPr>
          <w:rFonts w:hint="eastAsia" w:ascii="宋体" w:hAnsi="宋体" w:eastAsia="宋体" w:cs="宋体"/>
          <w:b/>
          <w:sz w:val="24"/>
          <w:szCs w:val="24"/>
        </w:rPr>
        <w:t>二、合同金额</w:t>
      </w:r>
    </w:p>
    <w:p w14:paraId="6F35A031">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2.1 本合同金额为（大写）：_________________圆（_______________元）人民币或其他币种。</w:t>
      </w:r>
    </w:p>
    <w:p w14:paraId="1A8A5D49">
      <w:pPr>
        <w:keepNext w:val="0"/>
        <w:keepLines w:val="0"/>
        <w:pageBreakBefore w:val="0"/>
        <w:widowControl w:val="0"/>
        <w:kinsoku/>
        <w:wordWrap/>
        <w:overflowPunct/>
        <w:topLinePunct w:val="0"/>
        <w:autoSpaceDE/>
        <w:autoSpaceDN/>
        <w:bidi w:val="0"/>
        <w:adjustRightInd/>
        <w:snapToGrid w:val="0"/>
        <w:spacing w:line="460" w:lineRule="exact"/>
        <w:ind w:left="0" w:leftChars="0" w:firstLine="482" w:firstLineChars="200"/>
        <w:jc w:val="both"/>
        <w:textAlignment w:val="auto"/>
        <w:outlineLvl w:val="9"/>
        <w:rPr>
          <w:rFonts w:hint="eastAsia" w:ascii="宋体" w:hAnsi="宋体" w:eastAsia="宋体" w:cs="宋体"/>
          <w:b/>
          <w:sz w:val="24"/>
          <w:szCs w:val="24"/>
        </w:rPr>
      </w:pPr>
      <w:r>
        <w:rPr>
          <w:rFonts w:hint="eastAsia" w:ascii="宋体" w:hAnsi="宋体" w:eastAsia="宋体" w:cs="宋体"/>
          <w:b/>
          <w:sz w:val="24"/>
          <w:szCs w:val="24"/>
        </w:rPr>
        <w:t>三、技术资料</w:t>
      </w:r>
    </w:p>
    <w:p w14:paraId="4FD8152C">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3.1乙方应按磋商文件规定的时间向甲方提供与合同标的有关的技术资料。</w:t>
      </w:r>
    </w:p>
    <w:p w14:paraId="2BA7361A">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F8B3E9B">
      <w:pPr>
        <w:keepNext w:val="0"/>
        <w:keepLines w:val="0"/>
        <w:pageBreakBefore w:val="0"/>
        <w:widowControl w:val="0"/>
        <w:kinsoku/>
        <w:wordWrap/>
        <w:overflowPunct/>
        <w:topLinePunct w:val="0"/>
        <w:autoSpaceDE/>
        <w:autoSpaceDN/>
        <w:bidi w:val="0"/>
        <w:adjustRightInd/>
        <w:snapToGrid w:val="0"/>
        <w:spacing w:line="460" w:lineRule="exact"/>
        <w:ind w:left="0" w:leftChars="0" w:firstLine="482" w:firstLineChars="200"/>
        <w:jc w:val="both"/>
        <w:textAlignment w:val="auto"/>
        <w:outlineLvl w:val="9"/>
        <w:rPr>
          <w:rFonts w:hint="eastAsia" w:ascii="宋体" w:hAnsi="宋体" w:eastAsia="宋体" w:cs="宋体"/>
          <w:b/>
          <w:sz w:val="24"/>
          <w:szCs w:val="24"/>
        </w:rPr>
      </w:pPr>
      <w:r>
        <w:rPr>
          <w:rFonts w:hint="eastAsia" w:ascii="宋体" w:hAnsi="宋体" w:eastAsia="宋体" w:cs="宋体"/>
          <w:b/>
          <w:sz w:val="24"/>
          <w:szCs w:val="24"/>
        </w:rPr>
        <w:t>四、知识产权</w:t>
      </w:r>
    </w:p>
    <w:p w14:paraId="14AA7EA8">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4.1乙方应保证甲方在使用、接受本合同标的或其任何一部分时不受第三方提出侵犯其专利权、版权、商标权和工业设计权等知识产权的起诉。一旦出现侵权，由乙方负全部责任。</w:t>
      </w:r>
    </w:p>
    <w:p w14:paraId="723084D8">
      <w:pPr>
        <w:keepNext w:val="0"/>
        <w:keepLines w:val="0"/>
        <w:pageBreakBefore w:val="0"/>
        <w:widowControl w:val="0"/>
        <w:kinsoku/>
        <w:wordWrap/>
        <w:overflowPunct/>
        <w:topLinePunct w:val="0"/>
        <w:autoSpaceDE/>
        <w:autoSpaceDN/>
        <w:bidi w:val="0"/>
        <w:adjustRightInd/>
        <w:snapToGrid w:val="0"/>
        <w:spacing w:line="460" w:lineRule="exact"/>
        <w:ind w:left="0" w:leftChars="0" w:firstLine="482" w:firstLineChars="200"/>
        <w:jc w:val="both"/>
        <w:textAlignment w:val="auto"/>
        <w:outlineLvl w:val="9"/>
        <w:rPr>
          <w:rFonts w:hint="eastAsia" w:ascii="宋体" w:hAnsi="宋体" w:eastAsia="宋体" w:cs="宋体"/>
          <w:sz w:val="24"/>
          <w:szCs w:val="24"/>
          <w:u w:val="single"/>
        </w:rPr>
      </w:pPr>
      <w:r>
        <w:rPr>
          <w:rFonts w:hint="eastAsia" w:ascii="宋体" w:hAnsi="宋体" w:eastAsia="宋体" w:cs="宋体"/>
          <w:b/>
          <w:sz w:val="24"/>
          <w:szCs w:val="24"/>
        </w:rPr>
        <w:t>五、产权担保</w:t>
      </w:r>
    </w:p>
    <w:p w14:paraId="0FC8903B">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5.1 乙方保证所交付的合同标的的所有权完全属于乙方且无任何抵押、查封等产权瑕疵。</w:t>
      </w:r>
    </w:p>
    <w:p w14:paraId="549705A9">
      <w:pPr>
        <w:keepNext w:val="0"/>
        <w:keepLines w:val="0"/>
        <w:pageBreakBefore w:val="0"/>
        <w:widowControl w:val="0"/>
        <w:kinsoku/>
        <w:wordWrap/>
        <w:overflowPunct/>
        <w:topLinePunct w:val="0"/>
        <w:autoSpaceDE/>
        <w:autoSpaceDN/>
        <w:bidi w:val="0"/>
        <w:adjustRightInd/>
        <w:snapToGrid w:val="0"/>
        <w:spacing w:line="460" w:lineRule="exact"/>
        <w:ind w:left="0" w:leftChars="0" w:firstLine="482" w:firstLineChars="200"/>
        <w:jc w:val="both"/>
        <w:textAlignment w:val="auto"/>
        <w:outlineLvl w:val="9"/>
        <w:rPr>
          <w:rFonts w:hint="eastAsia" w:ascii="宋体" w:hAnsi="宋体" w:eastAsia="宋体" w:cs="宋体"/>
          <w:b/>
          <w:sz w:val="24"/>
          <w:szCs w:val="24"/>
        </w:rPr>
      </w:pPr>
      <w:r>
        <w:rPr>
          <w:rFonts w:hint="eastAsia" w:ascii="宋体" w:hAnsi="宋体" w:eastAsia="宋体" w:cs="宋体"/>
          <w:b/>
          <w:sz w:val="24"/>
          <w:szCs w:val="24"/>
        </w:rPr>
        <w:t>六、履约保证金</w:t>
      </w:r>
    </w:p>
    <w:p w14:paraId="5C0F4D16">
      <w:pPr>
        <w:pStyle w:val="21"/>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6.1 本项目不要求缴纳履约保证金。</w:t>
      </w:r>
    </w:p>
    <w:p w14:paraId="26224E90">
      <w:pPr>
        <w:keepNext w:val="0"/>
        <w:keepLines w:val="0"/>
        <w:pageBreakBefore w:val="0"/>
        <w:widowControl w:val="0"/>
        <w:kinsoku/>
        <w:wordWrap/>
        <w:overflowPunct/>
        <w:topLinePunct w:val="0"/>
        <w:autoSpaceDE/>
        <w:autoSpaceDN/>
        <w:bidi w:val="0"/>
        <w:adjustRightInd/>
        <w:snapToGrid w:val="0"/>
        <w:spacing w:line="460" w:lineRule="exact"/>
        <w:ind w:left="0" w:leftChars="0" w:firstLine="482" w:firstLineChars="200"/>
        <w:jc w:val="both"/>
        <w:textAlignment w:val="auto"/>
        <w:outlineLvl w:val="9"/>
        <w:rPr>
          <w:rFonts w:hint="eastAsia" w:ascii="宋体" w:hAnsi="宋体" w:eastAsia="宋体" w:cs="宋体"/>
          <w:b/>
          <w:sz w:val="24"/>
          <w:szCs w:val="24"/>
        </w:rPr>
      </w:pPr>
      <w:r>
        <w:rPr>
          <w:rFonts w:hint="eastAsia" w:ascii="宋体" w:hAnsi="宋体" w:eastAsia="宋体" w:cs="宋体"/>
          <w:b/>
          <w:sz w:val="24"/>
          <w:szCs w:val="24"/>
        </w:rPr>
        <w:t>七、合同转包或分包</w:t>
      </w:r>
    </w:p>
    <w:p w14:paraId="0D140104">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7.1乙方不得将合同标的转包给他人履行。</w:t>
      </w:r>
    </w:p>
    <w:p w14:paraId="09173C92">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7.2乙方不得将合同标的分包给他人履行。</w:t>
      </w:r>
    </w:p>
    <w:p w14:paraId="2254F08E">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7.3乙方如有转包或未经甲方同意的分包行为，甲方有权解除合同。</w:t>
      </w:r>
    </w:p>
    <w:p w14:paraId="1DD2632E">
      <w:pPr>
        <w:keepNext w:val="0"/>
        <w:keepLines w:val="0"/>
        <w:pageBreakBefore w:val="0"/>
        <w:widowControl w:val="0"/>
        <w:kinsoku/>
        <w:wordWrap/>
        <w:overflowPunct/>
        <w:topLinePunct w:val="0"/>
        <w:autoSpaceDE/>
        <w:autoSpaceDN/>
        <w:bidi w:val="0"/>
        <w:adjustRightInd/>
        <w:snapToGrid w:val="0"/>
        <w:spacing w:line="460" w:lineRule="exact"/>
        <w:ind w:left="0" w:leftChars="0" w:firstLine="482" w:firstLineChars="200"/>
        <w:jc w:val="both"/>
        <w:textAlignment w:val="auto"/>
        <w:outlineLvl w:val="9"/>
        <w:rPr>
          <w:rFonts w:hint="eastAsia" w:ascii="宋体" w:hAnsi="宋体" w:eastAsia="宋体" w:cs="宋体"/>
          <w:b/>
          <w:sz w:val="24"/>
          <w:szCs w:val="24"/>
        </w:rPr>
      </w:pPr>
      <w:r>
        <w:rPr>
          <w:rFonts w:hint="eastAsia" w:ascii="宋体" w:hAnsi="宋体" w:eastAsia="宋体" w:cs="宋体"/>
          <w:b/>
          <w:sz w:val="24"/>
          <w:szCs w:val="24"/>
        </w:rPr>
        <w:t>八、合同款项支付</w:t>
      </w:r>
    </w:p>
    <w:p w14:paraId="47F36796">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8.1合同款项的支付方式及进度安排</w:t>
      </w:r>
    </w:p>
    <w:p w14:paraId="4B264E04">
      <w:pPr>
        <w:pStyle w:val="21"/>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8.1.1 预付款支付时间：合同签订后</w:t>
      </w:r>
      <w:r>
        <w:rPr>
          <w:rFonts w:hint="eastAsia" w:hAnsi="宋体" w:cs="宋体"/>
          <w:sz w:val="24"/>
          <w:szCs w:val="24"/>
          <w:highlight w:val="none"/>
          <w:u w:val="single"/>
          <w:lang w:val="en-US" w:eastAsia="zh-CN"/>
        </w:rPr>
        <w:t>60</w:t>
      </w:r>
      <w:r>
        <w:rPr>
          <w:rFonts w:hint="eastAsia" w:ascii="宋体" w:hAnsi="宋体" w:eastAsia="宋体" w:cs="宋体"/>
          <w:sz w:val="24"/>
          <w:szCs w:val="24"/>
          <w:highlight w:val="none"/>
          <w:u w:val="single"/>
        </w:rPr>
        <w:t>日内，预付款支付比例：合同金额的50%。满足合同约定支付条件的，自收到发票后10个工作日内支付。</w:t>
      </w:r>
    </w:p>
    <w:p w14:paraId="0360FF7E">
      <w:pPr>
        <w:pStyle w:val="21"/>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8.1.2 2026年12月验收合格后，</w:t>
      </w:r>
      <w:r>
        <w:rPr>
          <w:rFonts w:hint="eastAsia" w:hAnsi="宋体" w:cs="宋体"/>
          <w:sz w:val="24"/>
          <w:szCs w:val="24"/>
          <w:highlight w:val="none"/>
          <w:u w:val="single"/>
          <w:lang w:val="en-US" w:eastAsia="zh-CN"/>
        </w:rPr>
        <w:t>支付</w:t>
      </w:r>
      <w:r>
        <w:rPr>
          <w:rFonts w:hint="eastAsia" w:ascii="宋体" w:hAnsi="宋体" w:eastAsia="宋体" w:cs="宋体"/>
          <w:sz w:val="24"/>
          <w:szCs w:val="24"/>
          <w:highlight w:val="none"/>
          <w:u w:val="single"/>
        </w:rPr>
        <w:t>合同金额的50%。满足合同约定支付条件的，自收到发票后10个工作日内支付。</w:t>
      </w:r>
    </w:p>
    <w:p w14:paraId="52796158">
      <w:pPr>
        <w:keepNext w:val="0"/>
        <w:keepLines w:val="0"/>
        <w:pageBreakBefore w:val="0"/>
        <w:widowControl w:val="0"/>
        <w:kinsoku/>
        <w:wordWrap/>
        <w:overflowPunct/>
        <w:topLinePunct w:val="0"/>
        <w:autoSpaceDE/>
        <w:autoSpaceDN/>
        <w:bidi w:val="0"/>
        <w:adjustRightInd/>
        <w:snapToGrid w:val="0"/>
        <w:spacing w:line="460" w:lineRule="exact"/>
        <w:ind w:left="0" w:leftChars="0" w:firstLine="482" w:firstLineChars="200"/>
        <w:jc w:val="both"/>
        <w:textAlignment w:val="auto"/>
        <w:outlineLvl w:val="9"/>
        <w:rPr>
          <w:rFonts w:hint="eastAsia" w:ascii="宋体" w:hAnsi="宋体" w:eastAsia="宋体" w:cs="宋体"/>
          <w:b/>
          <w:sz w:val="24"/>
          <w:szCs w:val="24"/>
        </w:rPr>
      </w:pPr>
      <w:r>
        <w:rPr>
          <w:rFonts w:hint="eastAsia" w:ascii="宋体" w:hAnsi="宋体" w:eastAsia="宋体" w:cs="宋体"/>
          <w:b/>
          <w:sz w:val="24"/>
          <w:szCs w:val="24"/>
        </w:rPr>
        <w:t>九、税费</w:t>
      </w:r>
    </w:p>
    <w:p w14:paraId="25A0FB4A">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9.1本合同执行中相关的一切税费均由乙方负担。</w:t>
      </w:r>
    </w:p>
    <w:p w14:paraId="5430BEA4">
      <w:pPr>
        <w:keepNext w:val="0"/>
        <w:keepLines w:val="0"/>
        <w:pageBreakBefore w:val="0"/>
        <w:widowControl w:val="0"/>
        <w:kinsoku/>
        <w:wordWrap/>
        <w:overflowPunct/>
        <w:topLinePunct w:val="0"/>
        <w:autoSpaceDE/>
        <w:autoSpaceDN/>
        <w:bidi w:val="0"/>
        <w:adjustRightInd/>
        <w:snapToGrid w:val="0"/>
        <w:spacing w:line="460" w:lineRule="exact"/>
        <w:ind w:left="0" w:leftChars="0" w:firstLine="482" w:firstLineChars="200"/>
        <w:jc w:val="both"/>
        <w:textAlignment w:val="auto"/>
        <w:outlineLvl w:val="9"/>
        <w:rPr>
          <w:rFonts w:hint="eastAsia" w:ascii="宋体" w:hAnsi="宋体" w:eastAsia="宋体" w:cs="宋体"/>
          <w:b/>
          <w:sz w:val="24"/>
          <w:szCs w:val="24"/>
        </w:rPr>
      </w:pPr>
      <w:r>
        <w:rPr>
          <w:rFonts w:hint="eastAsia" w:ascii="宋体" w:hAnsi="宋体" w:eastAsia="宋体" w:cs="宋体"/>
          <w:b/>
          <w:sz w:val="24"/>
          <w:szCs w:val="24"/>
        </w:rPr>
        <w:t>十、项目验收</w:t>
      </w:r>
    </w:p>
    <w:p w14:paraId="369F7CE9">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10.1 甲方依法组织履约验收工作。</w:t>
      </w:r>
    </w:p>
    <w:p w14:paraId="597ABD16">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672DD73">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10.3 对于实际使用人和甲方分离的项目，甲方邀请实际使用人参与验收。</w:t>
      </w:r>
    </w:p>
    <w:p w14:paraId="227995FE">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10.4 如有必要，甲方邀请参加本项目的其他供应商或第三方专业机构及专家参与验收，相关意见将作为验收书的参考资料。</w:t>
      </w:r>
    </w:p>
    <w:p w14:paraId="15590AD3">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144CC57">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4FFF9A1E">
      <w:pPr>
        <w:keepNext w:val="0"/>
        <w:keepLines w:val="0"/>
        <w:pageBreakBefore w:val="0"/>
        <w:widowControl w:val="0"/>
        <w:kinsoku/>
        <w:wordWrap/>
        <w:overflowPunct/>
        <w:topLinePunct w:val="0"/>
        <w:autoSpaceDE/>
        <w:autoSpaceDN/>
        <w:bidi w:val="0"/>
        <w:adjustRightInd/>
        <w:snapToGrid w:val="0"/>
        <w:spacing w:line="460" w:lineRule="exact"/>
        <w:ind w:left="0" w:leftChars="0" w:firstLine="482" w:firstLineChars="200"/>
        <w:jc w:val="both"/>
        <w:textAlignment w:val="auto"/>
        <w:outlineLvl w:val="9"/>
        <w:rPr>
          <w:rFonts w:hint="eastAsia" w:ascii="宋体" w:hAnsi="宋体" w:eastAsia="宋体" w:cs="宋体"/>
          <w:b/>
          <w:sz w:val="24"/>
          <w:szCs w:val="24"/>
        </w:rPr>
      </w:pPr>
      <w:r>
        <w:rPr>
          <w:rFonts w:hint="eastAsia" w:ascii="宋体" w:hAnsi="宋体" w:eastAsia="宋体" w:cs="宋体"/>
          <w:b/>
          <w:sz w:val="24"/>
          <w:szCs w:val="24"/>
        </w:rPr>
        <w:t>十一、违约责任</w:t>
      </w:r>
    </w:p>
    <w:p w14:paraId="7E4E5FB6">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cs="宋体"/>
          <w:sz w:val="24"/>
          <w:szCs w:val="24"/>
          <w:lang w:val="en-US" w:eastAsia="zh-CN"/>
        </w:rPr>
        <w:t>11.</w:t>
      </w:r>
      <w:r>
        <w:rPr>
          <w:rFonts w:hint="eastAsia" w:ascii="宋体" w:hAnsi="宋体" w:eastAsia="宋体" w:cs="宋体"/>
          <w:sz w:val="24"/>
          <w:szCs w:val="24"/>
        </w:rPr>
        <w:t>1甲方、乙方若有违反本协议规定或其他违纪事项可向相关部门投诉。经相关部门核查，如情况属实将作为有效投诉记录在案，自愿接受相应处罚。</w:t>
      </w:r>
    </w:p>
    <w:p w14:paraId="6551031C">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cs="宋体"/>
          <w:sz w:val="24"/>
          <w:szCs w:val="24"/>
          <w:lang w:val="en-US" w:eastAsia="zh-CN"/>
        </w:rPr>
        <w:t>11.2</w:t>
      </w:r>
      <w:r>
        <w:rPr>
          <w:rFonts w:hint="eastAsia" w:ascii="宋体" w:hAnsi="宋体" w:eastAsia="宋体" w:cs="宋体"/>
          <w:sz w:val="24"/>
          <w:szCs w:val="24"/>
        </w:rPr>
        <w:t xml:space="preserve">乙方应提供符合本合同约定和行业规范及惯例的专业化服务，如果达不到甲方的要求，乙方应立即更换人员或改进方法，以达到合同约定的。乙方如因服务错误、失误等原因导致甲方解除合同，乙方应承担全部责任外，还应退还甲方全部服务费并承担由此而给甲方造成的损失。 </w:t>
      </w:r>
    </w:p>
    <w:p w14:paraId="408BF8EB">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cs="宋体"/>
          <w:sz w:val="24"/>
          <w:szCs w:val="24"/>
          <w:lang w:val="en-US" w:eastAsia="zh-CN"/>
        </w:rPr>
        <w:t>11.3</w:t>
      </w:r>
      <w:r>
        <w:rPr>
          <w:rFonts w:hint="eastAsia" w:ascii="宋体" w:hAnsi="宋体" w:eastAsia="宋体" w:cs="宋体"/>
          <w:sz w:val="24"/>
          <w:szCs w:val="24"/>
        </w:rPr>
        <w:t>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p>
    <w:p w14:paraId="6D589234">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cs="宋体"/>
          <w:sz w:val="24"/>
          <w:szCs w:val="24"/>
          <w:lang w:val="en-US" w:eastAsia="zh-CN"/>
        </w:rPr>
        <w:t>11.4</w:t>
      </w:r>
      <w:r>
        <w:rPr>
          <w:rFonts w:hint="eastAsia" w:ascii="宋体" w:hAnsi="宋体" w:eastAsia="宋体" w:cs="宋体"/>
          <w:sz w:val="24"/>
          <w:szCs w:val="24"/>
        </w:rPr>
        <w:t>乙方未按照本合同约定的时间、地点和方式提供服务，则视为乙方违约，每延迟一日，乙方应当按照延期提供服务总价格的5‰向甲方支付违约金；乙方延迟提供服务10天以上（含10天），甲方除了有权主张上述违约金外，还有权解除本合同，因此产生的相关损失全部由乙方承担，解除通知送达对方时本合同即解除。</w:t>
      </w:r>
    </w:p>
    <w:p w14:paraId="3937727B">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cs="宋体"/>
          <w:sz w:val="24"/>
          <w:szCs w:val="24"/>
          <w:lang w:val="en-US" w:eastAsia="zh-CN"/>
        </w:rPr>
        <w:t>11.</w:t>
      </w:r>
      <w:r>
        <w:rPr>
          <w:rFonts w:hint="eastAsia" w:ascii="宋体" w:hAnsi="宋体" w:eastAsia="宋体" w:cs="宋体"/>
          <w:sz w:val="24"/>
          <w:szCs w:val="24"/>
        </w:rPr>
        <w:t>5乙方应切实履行安全生产职责并在履约过程中采取必要的安全防护措施、在整个合同履行期间妥善保护好现场人员人身及财产安全，避免发生安全事故；乙方在服务过程中发生的各种安全事故，一切责任由乙方承担。</w:t>
      </w:r>
    </w:p>
    <w:p w14:paraId="0F764835">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11.6其他未尽事宜，以《民法典》等有关法律法规规定为准，无相关规定的，双方协商解决。</w:t>
      </w:r>
    </w:p>
    <w:p w14:paraId="7678660A">
      <w:pPr>
        <w:keepNext w:val="0"/>
        <w:keepLines w:val="0"/>
        <w:pageBreakBefore w:val="0"/>
        <w:widowControl w:val="0"/>
        <w:kinsoku/>
        <w:wordWrap/>
        <w:overflowPunct/>
        <w:topLinePunct w:val="0"/>
        <w:autoSpaceDE/>
        <w:autoSpaceDN/>
        <w:bidi w:val="0"/>
        <w:adjustRightInd/>
        <w:snapToGrid w:val="0"/>
        <w:spacing w:line="460" w:lineRule="exact"/>
        <w:ind w:left="0" w:leftChars="0" w:firstLine="482" w:firstLineChars="200"/>
        <w:jc w:val="both"/>
        <w:textAlignment w:val="auto"/>
        <w:outlineLvl w:val="9"/>
        <w:rPr>
          <w:rFonts w:hint="eastAsia" w:ascii="宋体" w:hAnsi="宋体" w:eastAsia="宋体" w:cs="宋体"/>
          <w:b/>
          <w:sz w:val="24"/>
          <w:szCs w:val="24"/>
        </w:rPr>
      </w:pPr>
      <w:r>
        <w:rPr>
          <w:rFonts w:hint="eastAsia" w:ascii="宋体" w:hAnsi="宋体" w:eastAsia="宋体" w:cs="宋体"/>
          <w:b/>
          <w:sz w:val="24"/>
          <w:szCs w:val="24"/>
        </w:rPr>
        <w:t>十二、不可抗力事件处理</w:t>
      </w:r>
    </w:p>
    <w:p w14:paraId="1CFCDB1F">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12.1 在合同有效期内，任何一方因不可抗力事件导致不能履行合同，则合同履行期可延长，其延长期与不可抗力影响 期相同。</w:t>
      </w:r>
    </w:p>
    <w:p w14:paraId="72953C2F">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12.2 不可抗力事件发生后，应立即通知对方，并寄送有关权威机构出具的证明。</w:t>
      </w:r>
    </w:p>
    <w:p w14:paraId="75BCF377">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12.3 不可抗力事件延续120天以上，双方应通过友好协商，确定是否继续履行合同。</w:t>
      </w:r>
    </w:p>
    <w:p w14:paraId="6668A5CA">
      <w:pPr>
        <w:keepNext w:val="0"/>
        <w:keepLines w:val="0"/>
        <w:pageBreakBefore w:val="0"/>
        <w:widowControl w:val="0"/>
        <w:kinsoku/>
        <w:wordWrap/>
        <w:overflowPunct/>
        <w:topLinePunct w:val="0"/>
        <w:autoSpaceDE/>
        <w:autoSpaceDN/>
        <w:bidi w:val="0"/>
        <w:adjustRightInd/>
        <w:snapToGrid w:val="0"/>
        <w:spacing w:line="460" w:lineRule="exact"/>
        <w:ind w:left="0" w:leftChars="0" w:firstLine="482" w:firstLineChars="200"/>
        <w:jc w:val="both"/>
        <w:textAlignment w:val="auto"/>
        <w:outlineLvl w:val="9"/>
        <w:rPr>
          <w:rFonts w:hint="eastAsia" w:ascii="宋体" w:hAnsi="宋体" w:eastAsia="宋体" w:cs="宋体"/>
          <w:b/>
          <w:sz w:val="24"/>
          <w:szCs w:val="24"/>
        </w:rPr>
      </w:pPr>
      <w:r>
        <w:rPr>
          <w:rFonts w:hint="eastAsia" w:ascii="宋体" w:hAnsi="宋体" w:eastAsia="宋体" w:cs="宋体"/>
          <w:b/>
          <w:sz w:val="24"/>
          <w:szCs w:val="24"/>
        </w:rPr>
        <w:t>十三、解决争议的方法</w:t>
      </w:r>
    </w:p>
    <w:p w14:paraId="579B1BB4">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13.1双方在签订、履行合同中所发生的一切争议，应通过友好协商解决。如协商不成，由甲方住所地人民法院管辖。</w:t>
      </w:r>
    </w:p>
    <w:p w14:paraId="3D7DCE76">
      <w:pPr>
        <w:keepNext w:val="0"/>
        <w:keepLines w:val="0"/>
        <w:pageBreakBefore w:val="0"/>
        <w:widowControl w:val="0"/>
        <w:kinsoku/>
        <w:wordWrap/>
        <w:overflowPunct/>
        <w:topLinePunct w:val="0"/>
        <w:autoSpaceDE/>
        <w:autoSpaceDN/>
        <w:bidi w:val="0"/>
        <w:adjustRightInd/>
        <w:snapToGrid w:val="0"/>
        <w:spacing w:line="460" w:lineRule="exact"/>
        <w:ind w:left="0" w:leftChars="0" w:firstLine="482" w:firstLineChars="200"/>
        <w:jc w:val="both"/>
        <w:textAlignment w:val="auto"/>
        <w:outlineLvl w:val="9"/>
        <w:rPr>
          <w:rFonts w:hint="eastAsia" w:ascii="宋体" w:hAnsi="宋体" w:eastAsia="宋体" w:cs="宋体"/>
          <w:b/>
          <w:sz w:val="24"/>
          <w:szCs w:val="24"/>
        </w:rPr>
      </w:pPr>
      <w:r>
        <w:rPr>
          <w:rFonts w:hint="eastAsia" w:ascii="宋体" w:hAnsi="宋体" w:eastAsia="宋体" w:cs="宋体"/>
          <w:b/>
          <w:sz w:val="24"/>
          <w:szCs w:val="24"/>
        </w:rPr>
        <w:t>十四、合同生效及其它</w:t>
      </w:r>
    </w:p>
    <w:p w14:paraId="60E8D5A8">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14.1 合同经双方法定代表人或授权委托代表人签字并加盖单位公章后生效。</w:t>
      </w:r>
    </w:p>
    <w:p w14:paraId="3980EF0B">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14.2本合同未尽事宜，遵照《民法典》、《政府采购法》有关条文执行。</w:t>
      </w:r>
    </w:p>
    <w:p w14:paraId="211846CA">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14.3 本合同正本一式三份，具有同等法律效力，甲方、乙方及财政监管部门各执一份。</w:t>
      </w:r>
    </w:p>
    <w:p w14:paraId="17ABC5E8">
      <w:pPr>
        <w:keepLines w:val="0"/>
        <w:pageBreakBefore w:val="0"/>
        <w:kinsoku/>
        <w:wordWrap/>
        <w:overflowPunct/>
        <w:topLinePunct w:val="0"/>
        <w:autoSpaceDE/>
        <w:autoSpaceDN/>
        <w:bidi w:val="0"/>
        <w:adjustRightInd/>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甲方：                        乙方： </w:t>
      </w:r>
    </w:p>
    <w:p w14:paraId="4E9B2D35">
      <w:pPr>
        <w:keepLines w:val="0"/>
        <w:pageBreakBefore w:val="0"/>
        <w:kinsoku/>
        <w:wordWrap/>
        <w:overflowPunct/>
        <w:topLinePunct w:val="0"/>
        <w:autoSpaceDE/>
        <w:autoSpaceDN/>
        <w:bidi w:val="0"/>
        <w:adjustRightInd/>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地址：                        地址： </w:t>
      </w:r>
    </w:p>
    <w:p w14:paraId="08B8BC3C">
      <w:pPr>
        <w:keepLines w:val="0"/>
        <w:pageBreakBefore w:val="0"/>
        <w:kinsoku/>
        <w:wordWrap/>
        <w:overflowPunct/>
        <w:topLinePunct w:val="0"/>
        <w:autoSpaceDE/>
        <w:autoSpaceDN/>
        <w:bidi w:val="0"/>
        <w:adjustRightInd/>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法定代表人或授权代表：        法定代表人或授权代表：</w:t>
      </w:r>
    </w:p>
    <w:p w14:paraId="28A65697">
      <w:pPr>
        <w:keepLines w:val="0"/>
        <w:pageBreakBefore w:val="0"/>
        <w:kinsoku/>
        <w:wordWrap/>
        <w:overflowPunct/>
        <w:topLinePunct w:val="0"/>
        <w:autoSpaceDE/>
        <w:autoSpaceDN/>
        <w:bidi w:val="0"/>
        <w:adjustRightInd/>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联系电话：                    联系电话：          </w:t>
      </w:r>
    </w:p>
    <w:p w14:paraId="55FFB310">
      <w:pPr>
        <w:keepLines w:val="0"/>
        <w:pageBreakBefore w:val="0"/>
        <w:kinsoku/>
        <w:wordWrap/>
        <w:overflowPunct/>
        <w:topLinePunct w:val="0"/>
        <w:autoSpaceDE/>
        <w:autoSpaceDN/>
        <w:bidi w:val="0"/>
        <w:adjustRightInd/>
        <w:spacing w:line="360" w:lineRule="auto"/>
        <w:ind w:left="0" w:leftChars="0" w:firstLine="480" w:firstLineChars="200"/>
        <w:jc w:val="both"/>
        <w:textAlignment w:val="auto"/>
        <w:outlineLvl w:val="9"/>
        <w:rPr>
          <w:rFonts w:hint="eastAsia" w:ascii="宋体" w:hAnsi="宋体" w:eastAsia="宋体" w:cs="宋体"/>
          <w:bCs/>
          <w:sz w:val="24"/>
          <w:szCs w:val="24"/>
        </w:rPr>
      </w:pPr>
      <w:r>
        <w:rPr>
          <w:rFonts w:hint="eastAsia" w:ascii="宋体" w:hAnsi="宋体" w:eastAsia="宋体" w:cs="宋体"/>
          <w:sz w:val="24"/>
          <w:szCs w:val="24"/>
        </w:rPr>
        <w:t xml:space="preserve">                                          签订日期：      年    月   日</w:t>
      </w:r>
    </w:p>
    <w:p w14:paraId="3A57FE0A">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r>
    </w:p>
    <w:p w14:paraId="2EAF69A7">
      <w:pPr>
        <w:pStyle w:val="196"/>
        <w:keepLines w:val="0"/>
        <w:widowControl/>
        <w:spacing w:line="360" w:lineRule="auto"/>
        <w:jc w:val="left"/>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附：</w:t>
      </w:r>
    </w:p>
    <w:p w14:paraId="5CECEBD4">
      <w:pPr>
        <w:pStyle w:val="196"/>
        <w:keepLines w:val="0"/>
        <w:widowControl/>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廉政责任书</w:t>
      </w:r>
    </w:p>
    <w:p w14:paraId="6C230551">
      <w:pPr>
        <w:pStyle w:val="247"/>
        <w:spacing w:after="240" w:afterAutospacing="0" w:line="360" w:lineRule="auto"/>
        <w:ind w:firstLine="480"/>
        <w:rPr>
          <w:color w:val="auto"/>
          <w:highlight w:val="none"/>
        </w:rPr>
      </w:pPr>
      <w:r>
        <w:rPr>
          <w:rFonts w:hint="eastAsia"/>
          <w:color w:val="auto"/>
          <w:highlight w:val="none"/>
        </w:rPr>
        <w:t>采购人（甲方）：                        供应商（乙方）：</w:t>
      </w:r>
    </w:p>
    <w:p w14:paraId="49A21A19">
      <w:pPr>
        <w:pStyle w:val="247"/>
        <w:spacing w:before="0" w:beforeAutospacing="0" w:after="0" w:afterAutospacing="0" w:line="360" w:lineRule="auto"/>
        <w:ind w:firstLine="480"/>
        <w:rPr>
          <w:color w:val="auto"/>
          <w:highlight w:val="none"/>
        </w:rPr>
      </w:pPr>
      <w:r>
        <w:rPr>
          <w:rFonts w:hint="eastAsia"/>
          <w:color w:val="auto"/>
          <w:highlight w:val="none"/>
        </w:rPr>
        <w:t>为规范双方的各项活动，防止发生谋取不正当利益的违法违纪行为，根据有关法律法规和廉政建设责任规定，特订立本廉政责任书：</w:t>
      </w:r>
    </w:p>
    <w:p w14:paraId="563F19D6">
      <w:pPr>
        <w:pStyle w:val="247"/>
        <w:spacing w:before="0" w:beforeAutospacing="0" w:after="0" w:afterAutospacing="0" w:line="360" w:lineRule="auto"/>
        <w:ind w:firstLine="480"/>
        <w:rPr>
          <w:bCs/>
          <w:color w:val="auto"/>
          <w:highlight w:val="none"/>
        </w:rPr>
      </w:pPr>
      <w:r>
        <w:rPr>
          <w:rFonts w:hint="eastAsia"/>
          <w:bCs/>
          <w:color w:val="auto"/>
          <w:highlight w:val="none"/>
        </w:rPr>
        <w:t xml:space="preserve">本协议所称“关系人”是指近亲属、其他关系密切的亲属、朋友等自然人，有股权等经济联系的法人或其他组织。 </w:t>
      </w:r>
    </w:p>
    <w:p w14:paraId="5FE2C541">
      <w:pPr>
        <w:pStyle w:val="247"/>
        <w:spacing w:before="0" w:beforeAutospacing="0" w:after="0" w:afterAutospacing="0" w:line="360" w:lineRule="auto"/>
        <w:ind w:firstLine="480"/>
        <w:rPr>
          <w:bCs/>
          <w:color w:val="auto"/>
          <w:highlight w:val="none"/>
        </w:rPr>
      </w:pPr>
      <w:r>
        <w:rPr>
          <w:rFonts w:hint="eastAsia"/>
          <w:bCs/>
          <w:color w:val="auto"/>
          <w:highlight w:val="none"/>
        </w:rPr>
        <w:t>1、甲乙双方在业务交往中，不论是单位或业务经办人员，均不得以任何形式（如现钞、有价证券、实物等）向对方人员或其他关系人、指定人行贿索贿或给付其他不正当利益。</w:t>
      </w:r>
    </w:p>
    <w:p w14:paraId="4D829CA3">
      <w:pPr>
        <w:pStyle w:val="247"/>
        <w:spacing w:before="0" w:beforeAutospacing="0" w:after="0" w:afterAutospacing="0" w:line="360" w:lineRule="auto"/>
        <w:ind w:firstLine="480"/>
        <w:rPr>
          <w:bCs/>
          <w:color w:val="auto"/>
          <w:highlight w:val="none"/>
        </w:rPr>
      </w:pPr>
      <w:r>
        <w:rPr>
          <w:rFonts w:hint="eastAsia"/>
          <w:bCs/>
          <w:color w:val="auto"/>
          <w:highlight w:val="none"/>
        </w:rPr>
        <w:t>2、甲乙双方均有责任教育本单位人员，禁止在业务活动中索贿、行贿、受贿，并拒绝对方人员的索贿、行贿行为。</w:t>
      </w:r>
    </w:p>
    <w:p w14:paraId="1F0969BC">
      <w:pPr>
        <w:pStyle w:val="247"/>
        <w:spacing w:before="0" w:beforeAutospacing="0" w:after="0" w:afterAutospacing="0" w:line="360" w:lineRule="auto"/>
        <w:ind w:firstLine="480"/>
        <w:rPr>
          <w:bCs/>
          <w:color w:val="auto"/>
          <w:highlight w:val="none"/>
        </w:rPr>
      </w:pPr>
      <w:r>
        <w:rPr>
          <w:rFonts w:hint="eastAsia"/>
          <w:bCs/>
          <w:color w:val="auto"/>
          <w:highlight w:val="none"/>
        </w:rPr>
        <w:t>3、在经济交往中，甲乙双方任何一方给予对方让利（返利）、回扣（佣金）、奖励等，均应在主合同中清楚列明，或以书面形式通知对方，并通过双方财务部门收付结算。</w:t>
      </w:r>
    </w:p>
    <w:p w14:paraId="400ED01D">
      <w:pPr>
        <w:pStyle w:val="247"/>
        <w:spacing w:before="0" w:beforeAutospacing="0" w:after="0" w:afterAutospacing="0" w:line="360" w:lineRule="auto"/>
        <w:ind w:firstLine="480"/>
        <w:rPr>
          <w:bCs/>
          <w:color w:val="auto"/>
          <w:highlight w:val="none"/>
        </w:rPr>
      </w:pPr>
      <w:r>
        <w:rPr>
          <w:rFonts w:hint="eastAsia"/>
          <w:bCs/>
          <w:color w:val="auto"/>
          <w:highlight w:val="none"/>
        </w:rPr>
        <w:t>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p>
    <w:p w14:paraId="44B25F28">
      <w:pPr>
        <w:pStyle w:val="247"/>
        <w:spacing w:before="0" w:beforeAutospacing="0" w:after="0" w:afterAutospacing="0" w:line="360" w:lineRule="auto"/>
        <w:ind w:firstLine="480"/>
        <w:rPr>
          <w:bCs/>
          <w:color w:val="auto"/>
          <w:highlight w:val="none"/>
        </w:rPr>
      </w:pPr>
      <w:r>
        <w:rPr>
          <w:rFonts w:hint="eastAsia"/>
          <w:bCs/>
          <w:color w:val="auto"/>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p>
    <w:p w14:paraId="17883368">
      <w:pPr>
        <w:pStyle w:val="247"/>
        <w:spacing w:before="0" w:beforeAutospacing="0" w:after="0" w:afterAutospacing="0" w:line="360" w:lineRule="auto"/>
        <w:ind w:firstLine="480"/>
        <w:rPr>
          <w:bCs/>
          <w:color w:val="auto"/>
          <w:highlight w:val="none"/>
        </w:rPr>
      </w:pPr>
      <w:r>
        <w:rPr>
          <w:rFonts w:hint="eastAsia"/>
          <w:bCs/>
          <w:color w:val="auto"/>
          <w:highlight w:val="none"/>
        </w:rPr>
        <w:t>6、任何一方行贿造成对方损失的，受害方除对受贿当事人依法追究法律责任外，有权终止主合同的继续履行。所发生的经济损失由行贿方单位承担。情节严重的，受害方可直接向有关单位报案。追究行贿方单位的法律责任。</w:t>
      </w:r>
    </w:p>
    <w:p w14:paraId="56B56AF1">
      <w:pPr>
        <w:pStyle w:val="247"/>
        <w:spacing w:before="0" w:beforeAutospacing="0" w:after="0" w:afterAutospacing="0" w:line="360" w:lineRule="auto"/>
        <w:ind w:firstLine="480"/>
        <w:rPr>
          <w:rFonts w:ascii="仿宋" w:hAnsi="仿宋" w:eastAsia="仿宋"/>
          <w:bCs/>
          <w:color w:val="auto"/>
          <w:highlight w:val="none"/>
        </w:rPr>
      </w:pPr>
      <w:r>
        <w:rPr>
          <w:rFonts w:hint="eastAsia"/>
          <w:bCs/>
          <w:color w:val="auto"/>
          <w:highlight w:val="none"/>
        </w:rPr>
        <w:t>7、本责任书作为合同的附件，与合同具有同等法律效力。本责任书自双方签署后立即生效。</w:t>
      </w:r>
    </w:p>
    <w:p w14:paraId="0E4CF76E">
      <w:pPr>
        <w:pStyle w:val="247"/>
        <w:spacing w:before="0" w:beforeAutospacing="0" w:after="0" w:afterAutospacing="0"/>
        <w:ind w:firstLine="720"/>
        <w:rPr>
          <w:bCs/>
          <w:color w:val="auto"/>
          <w:highlight w:val="none"/>
        </w:rPr>
      </w:pPr>
      <w:r>
        <w:rPr>
          <w:rFonts w:hint="eastAsia"/>
          <w:bCs/>
          <w:color w:val="auto"/>
          <w:highlight w:val="none"/>
        </w:rPr>
        <w:t>甲方（盖章）：                          乙方（盖章）：</w:t>
      </w:r>
    </w:p>
    <w:p w14:paraId="133F18DE">
      <w:pPr>
        <w:pStyle w:val="247"/>
        <w:spacing w:before="0" w:beforeAutospacing="0" w:after="0" w:afterAutospacing="0"/>
        <w:rPr>
          <w:bCs/>
          <w:color w:val="auto"/>
          <w:highlight w:val="none"/>
        </w:rPr>
      </w:pPr>
    </w:p>
    <w:p w14:paraId="3DCEB643">
      <w:pPr>
        <w:pStyle w:val="247"/>
        <w:spacing w:before="0" w:beforeAutospacing="0" w:after="0" w:afterAutospacing="0"/>
        <w:rPr>
          <w:color w:val="auto"/>
          <w:highlight w:val="none"/>
        </w:rPr>
      </w:pPr>
      <w:r>
        <w:rPr>
          <w:rFonts w:hint="eastAsia"/>
          <w:bCs/>
          <w:color w:val="auto"/>
          <w:highlight w:val="none"/>
        </w:rPr>
        <w:t xml:space="preserve">                  年   月   日                            年   月   日</w:t>
      </w:r>
    </w:p>
    <w:p w14:paraId="4A0E20E2">
      <w:pPr>
        <w:pStyle w:val="229"/>
        <w:rPr>
          <w:color w:val="auto"/>
          <w:highlight w:val="none"/>
        </w:rPr>
      </w:pPr>
    </w:p>
    <w:p w14:paraId="26337E5B">
      <w:pPr>
        <w:spacing w:line="360" w:lineRule="auto"/>
        <w:jc w:val="center"/>
        <w:outlineLvl w:val="0"/>
        <w:rPr>
          <w:b/>
          <w:color w:val="auto"/>
          <w:sz w:val="36"/>
          <w:szCs w:val="36"/>
          <w:highlight w:val="none"/>
        </w:rPr>
      </w:pPr>
      <w:bookmarkStart w:id="677" w:name="_Toc12791"/>
    </w:p>
    <w:p w14:paraId="41621F83">
      <w:pPr>
        <w:spacing w:line="360" w:lineRule="auto"/>
        <w:jc w:val="center"/>
        <w:outlineLvl w:val="0"/>
        <w:rPr>
          <w:b/>
          <w:color w:val="auto"/>
          <w:sz w:val="36"/>
          <w:szCs w:val="36"/>
          <w:highlight w:val="none"/>
        </w:rPr>
      </w:pPr>
      <w:r>
        <w:rPr>
          <w:b/>
          <w:color w:val="auto"/>
          <w:sz w:val="36"/>
          <w:szCs w:val="36"/>
          <w:highlight w:val="none"/>
        </w:rPr>
        <w:t>第六章   响应文件格式</w:t>
      </w:r>
      <w:bookmarkEnd w:id="677"/>
    </w:p>
    <w:p w14:paraId="577C7D32">
      <w:pPr>
        <w:widowControl/>
        <w:spacing w:line="360" w:lineRule="auto"/>
        <w:jc w:val="left"/>
        <w:rPr>
          <w:b/>
          <w:color w:val="auto"/>
          <w:sz w:val="24"/>
          <w:highlight w:val="none"/>
        </w:rPr>
      </w:pPr>
    </w:p>
    <w:p w14:paraId="4F263A2A">
      <w:pPr>
        <w:widowControl/>
        <w:spacing w:line="360" w:lineRule="auto"/>
        <w:jc w:val="left"/>
        <w:rPr>
          <w:b/>
          <w:color w:val="auto"/>
          <w:sz w:val="24"/>
          <w:highlight w:val="none"/>
        </w:rPr>
      </w:pPr>
    </w:p>
    <w:p w14:paraId="166329BE">
      <w:pPr>
        <w:tabs>
          <w:tab w:val="left" w:pos="900"/>
          <w:tab w:val="left" w:pos="1980"/>
        </w:tabs>
        <w:spacing w:line="360" w:lineRule="auto"/>
        <w:ind w:left="142"/>
        <w:rPr>
          <w:b/>
          <w:color w:val="auto"/>
          <w:sz w:val="24"/>
          <w:highlight w:val="none"/>
        </w:rPr>
      </w:pPr>
      <w:r>
        <w:rPr>
          <w:rFonts w:hint="eastAsia"/>
          <w:b/>
          <w:color w:val="auto"/>
          <w:sz w:val="24"/>
          <w:highlight w:val="none"/>
        </w:rPr>
        <w:t>供应商编制文件须知</w:t>
      </w:r>
    </w:p>
    <w:p w14:paraId="79F81796">
      <w:pPr>
        <w:tabs>
          <w:tab w:val="left" w:pos="900"/>
          <w:tab w:val="left" w:pos="1980"/>
        </w:tabs>
        <w:spacing w:line="360" w:lineRule="auto"/>
        <w:ind w:left="142"/>
        <w:rPr>
          <w:color w:val="auto"/>
          <w:sz w:val="24"/>
          <w:highlight w:val="none"/>
        </w:rPr>
      </w:pPr>
      <w:r>
        <w:rPr>
          <w:color w:val="auto"/>
          <w:sz w:val="24"/>
          <w:highlight w:val="none"/>
        </w:rPr>
        <w:t>1、供应商按照本部分的顺序编制响应文件，编制中涉及格式资料的，应按照本部分提供的内容和格式（所有表格的格式可扩展）填写提交。</w:t>
      </w:r>
    </w:p>
    <w:p w14:paraId="1C4C5303">
      <w:pPr>
        <w:tabs>
          <w:tab w:val="left" w:pos="900"/>
          <w:tab w:val="left" w:pos="1980"/>
        </w:tabs>
        <w:spacing w:line="360" w:lineRule="auto"/>
        <w:ind w:left="142"/>
        <w:rPr>
          <w:color w:val="auto"/>
          <w:sz w:val="24"/>
          <w:highlight w:val="none"/>
        </w:rPr>
      </w:pPr>
      <w:r>
        <w:rPr>
          <w:color w:val="auto"/>
          <w:sz w:val="24"/>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否则响应无效</w:t>
      </w:r>
      <w:r>
        <w:rPr>
          <w:color w:val="auto"/>
          <w:sz w:val="24"/>
          <w:highlight w:val="none"/>
        </w:rPr>
        <w:t>。未标记“实质性格式”的文件和竞争性磋商文件未提供格式的内容，可由供应商自行编写。</w:t>
      </w:r>
    </w:p>
    <w:p w14:paraId="2B71F950">
      <w:pPr>
        <w:tabs>
          <w:tab w:val="left" w:pos="900"/>
          <w:tab w:val="left" w:pos="1980"/>
        </w:tabs>
        <w:spacing w:line="360" w:lineRule="auto"/>
        <w:ind w:left="142"/>
        <w:rPr>
          <w:color w:val="auto"/>
          <w:sz w:val="24"/>
          <w:highlight w:val="none"/>
        </w:rPr>
      </w:pPr>
      <w:r>
        <w:rPr>
          <w:color w:val="auto"/>
          <w:sz w:val="24"/>
          <w:highlight w:val="none"/>
        </w:rPr>
        <w:t>3、全部声明和问题的回答及所附材料必须是真实的、准确的和完整的。</w:t>
      </w:r>
    </w:p>
    <w:p w14:paraId="1057B7A9">
      <w:pPr>
        <w:tabs>
          <w:tab w:val="left" w:pos="900"/>
          <w:tab w:val="left" w:pos="1980"/>
        </w:tabs>
        <w:spacing w:line="360" w:lineRule="auto"/>
        <w:ind w:left="142"/>
        <w:rPr>
          <w:color w:val="auto"/>
          <w:sz w:val="24"/>
          <w:highlight w:val="none"/>
        </w:rPr>
      </w:pPr>
      <w:r>
        <w:rPr>
          <w:rFonts w:hint="eastAsia"/>
          <w:color w:val="auto"/>
          <w:sz w:val="24"/>
          <w:highlight w:val="none"/>
        </w:rPr>
        <w:t>4、实行电子化不见面交易方式的，加盖公章、签名等均通过</w:t>
      </w:r>
      <w:r>
        <w:rPr>
          <w:color w:val="auto"/>
          <w:sz w:val="24"/>
          <w:highlight w:val="none"/>
        </w:rPr>
        <w:t>响应文件编制工具</w:t>
      </w:r>
      <w:r>
        <w:rPr>
          <w:rFonts w:hint="eastAsia"/>
          <w:color w:val="auto"/>
          <w:sz w:val="24"/>
          <w:highlight w:val="none"/>
        </w:rPr>
        <w:t>加盖电子公章、</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color w:val="auto"/>
          <w:sz w:val="24"/>
          <w:highlight w:val="none"/>
        </w:rPr>
        <w:t>。</w:t>
      </w:r>
    </w:p>
    <w:p w14:paraId="391669E3">
      <w:pPr>
        <w:tabs>
          <w:tab w:val="left" w:pos="900"/>
          <w:tab w:val="left" w:pos="1980"/>
        </w:tabs>
        <w:spacing w:line="360" w:lineRule="auto"/>
        <w:ind w:left="142"/>
        <w:rPr>
          <w:color w:val="auto"/>
          <w:sz w:val="24"/>
          <w:highlight w:val="none"/>
        </w:rPr>
      </w:pPr>
    </w:p>
    <w:p w14:paraId="2595AF53">
      <w:pPr>
        <w:widowControl/>
        <w:jc w:val="left"/>
        <w:rPr>
          <w:color w:val="auto"/>
          <w:sz w:val="24"/>
          <w:highlight w:val="none"/>
        </w:rPr>
      </w:pPr>
      <w:r>
        <w:rPr>
          <w:color w:val="auto"/>
          <w:sz w:val="24"/>
          <w:highlight w:val="none"/>
        </w:rPr>
        <w:br w:type="page" w:clear="all"/>
      </w:r>
    </w:p>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14:paraId="7E62D281">
      <w:pPr>
        <w:rPr>
          <w:b/>
          <w:color w:val="auto"/>
          <w:spacing w:val="20"/>
          <w:szCs w:val="21"/>
          <w:highlight w:val="none"/>
        </w:rPr>
      </w:pPr>
    </w:p>
    <w:p w14:paraId="4DD2890F">
      <w:pPr>
        <w:rPr>
          <w:b/>
          <w:color w:val="auto"/>
          <w:sz w:val="24"/>
          <w:highlight w:val="none"/>
        </w:rPr>
      </w:pPr>
      <w:r>
        <w:rPr>
          <w:b/>
          <w:color w:val="auto"/>
          <w:spacing w:val="20"/>
          <w:sz w:val="24"/>
          <w:highlight w:val="none"/>
        </w:rPr>
        <w:t>响应文件</w:t>
      </w:r>
      <w:r>
        <w:rPr>
          <w:b/>
          <w:color w:val="auto"/>
          <w:sz w:val="24"/>
          <w:highlight w:val="none"/>
        </w:rPr>
        <w:t>封面（非实质性格式）</w:t>
      </w:r>
    </w:p>
    <w:p w14:paraId="0BD0E4C9">
      <w:pPr>
        <w:jc w:val="center"/>
        <w:rPr>
          <w:color w:val="auto"/>
          <w:szCs w:val="21"/>
          <w:highlight w:val="none"/>
        </w:rPr>
      </w:pPr>
    </w:p>
    <w:p w14:paraId="5A08E8BF">
      <w:pPr>
        <w:jc w:val="center"/>
        <w:rPr>
          <w:b/>
          <w:color w:val="auto"/>
          <w:spacing w:val="60"/>
          <w:sz w:val="84"/>
          <w:szCs w:val="84"/>
          <w:highlight w:val="none"/>
        </w:rPr>
      </w:pPr>
      <w:r>
        <w:rPr>
          <w:b/>
          <w:color w:val="auto"/>
          <w:spacing w:val="60"/>
          <w:sz w:val="84"/>
          <w:szCs w:val="84"/>
          <w:highlight w:val="none"/>
        </w:rPr>
        <w:t>响 应 文 件</w:t>
      </w:r>
    </w:p>
    <w:p w14:paraId="285153D8">
      <w:pPr>
        <w:jc w:val="center"/>
        <w:rPr>
          <w:b/>
          <w:color w:val="auto"/>
          <w:spacing w:val="60"/>
          <w:sz w:val="52"/>
          <w:szCs w:val="52"/>
          <w:highlight w:val="none"/>
        </w:rPr>
      </w:pPr>
    </w:p>
    <w:p w14:paraId="26EEF8F7">
      <w:pPr>
        <w:ind w:firstLine="542"/>
        <w:rPr>
          <w:b/>
          <w:color w:val="auto"/>
          <w:spacing w:val="20"/>
          <w:sz w:val="32"/>
          <w:szCs w:val="32"/>
          <w:highlight w:val="none"/>
        </w:rPr>
      </w:pPr>
    </w:p>
    <w:p w14:paraId="6FCA3F07">
      <w:pPr>
        <w:ind w:firstLine="542"/>
        <w:rPr>
          <w:b/>
          <w:color w:val="auto"/>
          <w:spacing w:val="20"/>
          <w:sz w:val="32"/>
          <w:szCs w:val="32"/>
          <w:highlight w:val="none"/>
        </w:rPr>
      </w:pPr>
    </w:p>
    <w:p w14:paraId="70A6F87B">
      <w:pPr>
        <w:ind w:firstLine="1084"/>
        <w:rPr>
          <w:rFonts w:ascii="宋体" w:hAnsi="宋体"/>
          <w:b/>
          <w:color w:val="auto"/>
          <w:sz w:val="36"/>
          <w:highlight w:val="none"/>
        </w:rPr>
      </w:pPr>
      <w:r>
        <w:rPr>
          <w:rFonts w:hint="eastAsia" w:ascii="宋体" w:hAnsi="宋体"/>
          <w:b/>
          <w:color w:val="auto"/>
          <w:sz w:val="36"/>
          <w:highlight w:val="none"/>
        </w:rPr>
        <w:t>项 目 名 称：</w:t>
      </w:r>
    </w:p>
    <w:p w14:paraId="29D9FF2A">
      <w:pPr>
        <w:ind w:firstLine="1084"/>
        <w:rPr>
          <w:rFonts w:ascii="宋体" w:hAnsi="宋体"/>
          <w:b/>
          <w:color w:val="auto"/>
          <w:sz w:val="36"/>
          <w:highlight w:val="none"/>
          <w:u w:val="single"/>
        </w:rPr>
      </w:pPr>
      <w:r>
        <w:rPr>
          <w:rFonts w:hint="eastAsia" w:ascii="宋体" w:hAnsi="宋体"/>
          <w:b/>
          <w:color w:val="auto"/>
          <w:sz w:val="36"/>
          <w:highlight w:val="none"/>
        </w:rPr>
        <w:t>项 目 编 号：</w:t>
      </w:r>
    </w:p>
    <w:p w14:paraId="744167F6">
      <w:pPr>
        <w:rPr>
          <w:rFonts w:ascii="宋体" w:hAnsi="宋体"/>
          <w:b/>
          <w:color w:val="auto"/>
          <w:sz w:val="36"/>
          <w:highlight w:val="none"/>
          <w:u w:val="single"/>
        </w:rPr>
      </w:pPr>
      <w:r>
        <w:rPr>
          <w:rFonts w:hint="eastAsia" w:ascii="宋体" w:hAnsi="宋体"/>
          <w:b/>
          <w:color w:val="auto"/>
          <w:sz w:val="36"/>
          <w:highlight w:val="none"/>
        </w:rPr>
        <w:t xml:space="preserve">      供应商名称 ：</w:t>
      </w:r>
    </w:p>
    <w:p w14:paraId="5FA33846">
      <w:pPr>
        <w:rPr>
          <w:rFonts w:ascii="宋体" w:hAnsi="宋体"/>
          <w:b/>
          <w:color w:val="auto"/>
          <w:sz w:val="36"/>
          <w:highlight w:val="none"/>
        </w:rPr>
      </w:pPr>
      <w:r>
        <w:rPr>
          <w:rFonts w:hint="eastAsia" w:ascii="宋体" w:hAnsi="宋体"/>
          <w:b/>
          <w:color w:val="auto"/>
          <w:sz w:val="36"/>
          <w:highlight w:val="none"/>
        </w:rPr>
        <w:t xml:space="preserve">      日      期 ：</w:t>
      </w:r>
    </w:p>
    <w:p w14:paraId="5DE3D6D8">
      <w:pPr>
        <w:jc w:val="center"/>
        <w:rPr>
          <w:b/>
          <w:color w:val="auto"/>
          <w:sz w:val="32"/>
          <w:szCs w:val="32"/>
          <w:highlight w:val="none"/>
        </w:rPr>
      </w:pPr>
    </w:p>
    <w:p w14:paraId="3039B530">
      <w:pPr>
        <w:rPr>
          <w:rFonts w:hint="eastAsia" w:ascii="宋体" w:hAnsi="宋体" w:eastAsia="宋体" w:cs="宋体"/>
          <w:b/>
          <w:bCs/>
          <w:color w:val="auto"/>
          <w:sz w:val="24"/>
          <w:szCs w:val="20"/>
          <w:highlight w:val="none"/>
        </w:rPr>
      </w:pPr>
      <w:r>
        <w:rPr>
          <w:b/>
          <w:color w:val="auto"/>
          <w:spacing w:val="20"/>
          <w:sz w:val="32"/>
          <w:szCs w:val="32"/>
          <w:highlight w:val="none"/>
        </w:rPr>
        <w:br w:type="page" w:clear="all"/>
      </w:r>
      <w:r>
        <w:rPr>
          <w:rFonts w:hint="eastAsia" w:ascii="宋体" w:hAnsi="宋体" w:eastAsia="宋体" w:cs="宋体"/>
          <w:b/>
          <w:bCs/>
          <w:color w:val="auto"/>
          <w:sz w:val="24"/>
          <w:szCs w:val="20"/>
          <w:highlight w:val="none"/>
        </w:rPr>
        <w:t xml:space="preserve">1 </w:t>
      </w:r>
      <w:r>
        <w:rPr>
          <w:rFonts w:hint="eastAsia" w:ascii="宋体" w:hAnsi="宋体" w:eastAsia="宋体" w:cs="宋体"/>
          <w:b/>
          <w:bCs/>
          <w:color w:val="auto"/>
          <w:sz w:val="24"/>
          <w:highlight w:val="none"/>
        </w:rPr>
        <w:t>满足《中华人民共和国政府采购法》第二十二条规定及法律法规的其他规定</w:t>
      </w:r>
    </w:p>
    <w:p w14:paraId="604F5E0C">
      <w:pPr>
        <w:pStyle w:val="198"/>
        <w:rPr>
          <w:rFonts w:hint="eastAsia" w:ascii="宋体" w:hAnsi="宋体" w:eastAsia="宋体" w:cs="宋体"/>
          <w:b/>
          <w:bCs/>
          <w:color w:val="auto"/>
          <w:highlight w:val="none"/>
          <w:u w:val="none"/>
        </w:rPr>
      </w:pPr>
      <w:r>
        <w:rPr>
          <w:rFonts w:hint="eastAsia" w:ascii="宋体" w:hAnsi="宋体" w:eastAsia="宋体" w:cs="宋体"/>
          <w:b/>
          <w:bCs/>
          <w:color w:val="auto"/>
          <w:highlight w:val="none"/>
          <w:u w:val="none"/>
        </w:rPr>
        <w:t>1-1 供应商资格声明函（实质性格式）</w:t>
      </w:r>
    </w:p>
    <w:p w14:paraId="51EB0504">
      <w:pPr>
        <w:widowControl/>
        <w:spacing w:before="120" w:line="360" w:lineRule="auto"/>
        <w:jc w:val="center"/>
        <w:rPr>
          <w:rFonts w:ascii="宋体" w:hAnsi="宋体" w:cs="宋体"/>
          <w:b/>
          <w:color w:val="auto"/>
          <w:sz w:val="28"/>
          <w:szCs w:val="28"/>
          <w:highlight w:val="none"/>
        </w:rPr>
      </w:pPr>
    </w:p>
    <w:p w14:paraId="62B13C18">
      <w:pPr>
        <w:widowControl/>
        <w:spacing w:before="120"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供应商资格声明函</w:t>
      </w:r>
    </w:p>
    <w:p w14:paraId="427E8BF4">
      <w:pPr>
        <w:pStyle w:val="197"/>
        <w:spacing w:line="460" w:lineRule="exact"/>
        <w:ind w:firstLine="480"/>
        <w:rPr>
          <w:color w:val="auto"/>
          <w:highlight w:val="none"/>
        </w:rPr>
      </w:pPr>
    </w:p>
    <w:p w14:paraId="40F8752B">
      <w:pPr>
        <w:pStyle w:val="197"/>
        <w:spacing w:line="460" w:lineRule="exact"/>
        <w:ind w:firstLine="480"/>
        <w:rPr>
          <w:color w:val="auto"/>
          <w:highlight w:val="none"/>
        </w:rPr>
      </w:pPr>
      <w:r>
        <w:rPr>
          <w:rFonts w:hint="eastAsia"/>
          <w:color w:val="auto"/>
          <w:highlight w:val="none"/>
        </w:rPr>
        <w:t>致：常州盈泰招标有限公司</w:t>
      </w:r>
    </w:p>
    <w:p w14:paraId="381E3395">
      <w:pPr>
        <w:pStyle w:val="197"/>
        <w:spacing w:line="460" w:lineRule="exact"/>
        <w:ind w:firstLine="960"/>
        <w:rPr>
          <w:color w:val="auto"/>
          <w:highlight w:val="none"/>
          <w:u w:val="single"/>
        </w:rPr>
      </w:pPr>
      <w:r>
        <w:rPr>
          <w:rFonts w:hint="eastAsia"/>
          <w:color w:val="auto"/>
          <w:highlight w:val="none"/>
          <w:u w:val="single"/>
        </w:rPr>
        <w:t>（采购人名称）</w:t>
      </w:r>
    </w:p>
    <w:p w14:paraId="419A147B">
      <w:pPr>
        <w:pStyle w:val="197"/>
        <w:spacing w:line="460" w:lineRule="exact"/>
        <w:ind w:firstLine="480"/>
        <w:rPr>
          <w:color w:val="auto"/>
          <w:highlight w:val="none"/>
        </w:rPr>
      </w:pPr>
    </w:p>
    <w:p w14:paraId="32786040">
      <w:pPr>
        <w:pStyle w:val="197"/>
        <w:spacing w:line="460" w:lineRule="exact"/>
        <w:ind w:firstLine="480"/>
        <w:rPr>
          <w:color w:val="auto"/>
          <w:highlight w:val="none"/>
        </w:rPr>
      </w:pPr>
      <w:r>
        <w:rPr>
          <w:rFonts w:hint="eastAsia"/>
          <w:color w:val="auto"/>
          <w:highlight w:val="none"/>
        </w:rPr>
        <w:t>按照《中华人民共和国政府采购法》第二十二条和磋商文件的规定，我单位郑重声明如下：</w:t>
      </w:r>
    </w:p>
    <w:p w14:paraId="5E0940B1">
      <w:pPr>
        <w:pStyle w:val="197"/>
        <w:spacing w:line="460" w:lineRule="exact"/>
        <w:ind w:firstLine="480"/>
        <w:rPr>
          <w:color w:val="auto"/>
          <w:highlight w:val="none"/>
        </w:rPr>
      </w:pPr>
      <w:r>
        <w:rPr>
          <w:rFonts w:hint="eastAsia"/>
          <w:color w:val="auto"/>
          <w:highlight w:val="none"/>
        </w:rPr>
        <w:t>一、我单位是按照中华人民共和国法律规定登记注册的，注册地点为，全称为，统一社会信用代码为 ，法定代表人（单位负责人）为，具有独立承担民事责任的能力</w:t>
      </w:r>
      <w:r>
        <w:rPr>
          <w:rFonts w:hint="eastAsia"/>
          <w:b/>
          <w:color w:val="auto"/>
          <w:highlight w:val="none"/>
        </w:rPr>
        <w:t>（如属于分公司经总公司授权参与项目，由总公司承担民事责任的，需提供总公司项目授权书）</w:t>
      </w:r>
      <w:r>
        <w:rPr>
          <w:rFonts w:hint="eastAsia"/>
          <w:color w:val="auto"/>
          <w:highlight w:val="none"/>
        </w:rPr>
        <w:t>。</w:t>
      </w:r>
    </w:p>
    <w:p w14:paraId="63D2DBC8">
      <w:pPr>
        <w:pStyle w:val="197"/>
        <w:spacing w:line="460" w:lineRule="exact"/>
        <w:ind w:firstLine="480"/>
        <w:rPr>
          <w:color w:val="auto"/>
          <w:highlight w:val="none"/>
        </w:rPr>
      </w:pPr>
      <w:r>
        <w:rPr>
          <w:rFonts w:hint="eastAsia"/>
          <w:color w:val="auto"/>
          <w:highlight w:val="none"/>
        </w:rPr>
        <w:t>二、我单位未被“国家企业信用信息系统”列入经营异常名录或者严重违法企业名单。</w:t>
      </w:r>
    </w:p>
    <w:p w14:paraId="27E3FCA8">
      <w:pPr>
        <w:pStyle w:val="197"/>
        <w:spacing w:line="460" w:lineRule="exact"/>
        <w:ind w:firstLine="480"/>
        <w:rPr>
          <w:color w:val="auto"/>
          <w:highlight w:val="none"/>
        </w:rPr>
      </w:pPr>
      <w:r>
        <w:rPr>
          <w:rFonts w:hint="eastAsia"/>
          <w:color w:val="auto"/>
          <w:highlight w:val="none"/>
        </w:rPr>
        <w:t>三、我单位具有良好的商业信誉（指供应商经营状况良好，无本资格声明第十条情形）和健全的财务会计制度。</w:t>
      </w:r>
    </w:p>
    <w:p w14:paraId="6FCF4EFE">
      <w:pPr>
        <w:pStyle w:val="197"/>
        <w:spacing w:line="460" w:lineRule="exact"/>
        <w:ind w:firstLine="480"/>
        <w:rPr>
          <w:color w:val="auto"/>
          <w:highlight w:val="none"/>
        </w:rPr>
      </w:pPr>
      <w:r>
        <w:rPr>
          <w:rFonts w:hint="eastAsia"/>
          <w:color w:val="auto"/>
          <w:highlight w:val="none"/>
        </w:rPr>
        <w:t>四、我单位依法进行纳税和社会保险申报并实际履行了义务。</w:t>
      </w:r>
    </w:p>
    <w:p w14:paraId="1568F6AB">
      <w:pPr>
        <w:pStyle w:val="197"/>
        <w:spacing w:line="460" w:lineRule="exact"/>
        <w:ind w:firstLine="480"/>
        <w:rPr>
          <w:color w:val="auto"/>
          <w:highlight w:val="none"/>
        </w:rPr>
      </w:pPr>
      <w:r>
        <w:rPr>
          <w:rFonts w:hint="eastAsia"/>
          <w:color w:val="auto"/>
          <w:highlight w:val="none"/>
        </w:rPr>
        <w:t>五、我单位具有履行本项目采购合同所必需的设备和专业技术能力，并具有履行合同的良好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7B763370">
      <w:pPr>
        <w:pStyle w:val="197"/>
        <w:spacing w:line="460" w:lineRule="exact"/>
        <w:ind w:firstLine="480"/>
        <w:rPr>
          <w:color w:val="auto"/>
          <w:highlight w:val="none"/>
        </w:rPr>
      </w:pPr>
      <w:r>
        <w:rPr>
          <w:rFonts w:hint="eastAsia"/>
          <w:color w:val="auto"/>
          <w:highlight w:val="none"/>
        </w:rPr>
        <w:t>主要设备有：</w:t>
      </w:r>
    </w:p>
    <w:p w14:paraId="7994D588">
      <w:pPr>
        <w:pStyle w:val="197"/>
        <w:spacing w:line="460" w:lineRule="exact"/>
        <w:ind w:firstLine="480"/>
        <w:rPr>
          <w:color w:val="auto"/>
          <w:highlight w:val="none"/>
        </w:rPr>
      </w:pPr>
      <w:r>
        <w:rPr>
          <w:rFonts w:hint="eastAsia"/>
          <w:color w:val="auto"/>
          <w:highlight w:val="none"/>
        </w:rPr>
        <w:t>主要专业技术能力有</w:t>
      </w:r>
    </w:p>
    <w:p w14:paraId="78E0B60A">
      <w:pPr>
        <w:pStyle w:val="197"/>
        <w:spacing w:line="460" w:lineRule="exact"/>
        <w:ind w:firstLine="480"/>
        <w:rPr>
          <w:color w:val="auto"/>
          <w:highlight w:val="none"/>
        </w:rPr>
      </w:pPr>
      <w:r>
        <w:rPr>
          <w:rFonts w:hint="eastAsia"/>
          <w:color w:val="auto"/>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36D284E2">
      <w:pPr>
        <w:pStyle w:val="197"/>
        <w:spacing w:line="460" w:lineRule="exact"/>
        <w:ind w:firstLine="480"/>
        <w:rPr>
          <w:color w:val="auto"/>
          <w:highlight w:val="none"/>
        </w:rPr>
      </w:pPr>
      <w:r>
        <w:rPr>
          <w:rFonts w:hint="eastAsia"/>
          <w:color w:val="auto"/>
          <w:highlight w:val="none"/>
        </w:rPr>
        <w:t>七、我单位具备法律、行政法规规定的其他条件。</w:t>
      </w:r>
    </w:p>
    <w:p w14:paraId="3A3EDAC3">
      <w:pPr>
        <w:pStyle w:val="197"/>
        <w:spacing w:line="460" w:lineRule="exact"/>
        <w:ind w:firstLine="480"/>
        <w:rPr>
          <w:color w:val="auto"/>
          <w:highlight w:val="none"/>
        </w:rPr>
      </w:pPr>
      <w:r>
        <w:rPr>
          <w:rFonts w:hint="eastAsia"/>
          <w:color w:val="auto"/>
          <w:highlight w:val="none"/>
        </w:rPr>
        <w:t>八、与我单位存在“单位负责人为同一人或者存在直接控股、管理关系”的其他单位信息如下（如无此情形的，填写“无”）：</w:t>
      </w:r>
    </w:p>
    <w:p w14:paraId="58C0929D">
      <w:pPr>
        <w:pStyle w:val="197"/>
        <w:spacing w:line="460" w:lineRule="exact"/>
        <w:ind w:firstLine="480"/>
        <w:rPr>
          <w:color w:val="auto"/>
          <w:highlight w:val="none"/>
        </w:rPr>
      </w:pPr>
      <w:r>
        <w:rPr>
          <w:rFonts w:hint="eastAsia"/>
          <w:color w:val="auto"/>
          <w:highlight w:val="none"/>
        </w:rPr>
        <w:t>1、与我单位的法定代表人（单位负责人）为同一人的其他单位如下：</w:t>
      </w:r>
    </w:p>
    <w:p w14:paraId="6B1B3A90">
      <w:pPr>
        <w:pStyle w:val="197"/>
        <w:spacing w:line="460" w:lineRule="exact"/>
        <w:ind w:firstLine="480"/>
        <w:rPr>
          <w:color w:val="auto"/>
          <w:highlight w:val="none"/>
        </w:rPr>
      </w:pPr>
      <w:r>
        <w:rPr>
          <w:rFonts w:hint="eastAsia"/>
          <w:color w:val="auto"/>
          <w:highlight w:val="none"/>
        </w:rPr>
        <w:t>2、我单位直接控股的其他单位如下：</w:t>
      </w:r>
    </w:p>
    <w:p w14:paraId="36014572">
      <w:pPr>
        <w:pStyle w:val="197"/>
        <w:spacing w:line="460" w:lineRule="exact"/>
        <w:ind w:firstLine="480"/>
        <w:rPr>
          <w:color w:val="auto"/>
          <w:highlight w:val="none"/>
        </w:rPr>
      </w:pPr>
      <w:r>
        <w:rPr>
          <w:rFonts w:hint="eastAsia"/>
          <w:color w:val="auto"/>
          <w:highlight w:val="none"/>
        </w:rPr>
        <w:t>3、与我单位存在管理关系的其他单位如下：</w:t>
      </w:r>
    </w:p>
    <w:p w14:paraId="7C1C32A9">
      <w:pPr>
        <w:pStyle w:val="197"/>
        <w:spacing w:line="460" w:lineRule="exact"/>
        <w:ind w:firstLine="480"/>
        <w:rPr>
          <w:color w:val="auto"/>
          <w:highlight w:val="none"/>
        </w:rPr>
      </w:pPr>
      <w:r>
        <w:rPr>
          <w:rFonts w:hint="eastAsia"/>
          <w:color w:val="auto"/>
          <w:highlight w:val="none"/>
        </w:rPr>
        <w:t>九、</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不属于为本项目提供整体设计、规范编制或者项目管理、监理、检测等服务的供应商。</w:t>
      </w:r>
    </w:p>
    <w:p w14:paraId="09C765AB">
      <w:pPr>
        <w:pStyle w:val="197"/>
        <w:spacing w:line="460" w:lineRule="exact"/>
        <w:ind w:firstLine="480"/>
        <w:rPr>
          <w:color w:val="auto"/>
          <w:highlight w:val="none"/>
        </w:rPr>
      </w:pPr>
      <w:r>
        <w:rPr>
          <w:rFonts w:hint="eastAsia"/>
          <w:color w:val="auto"/>
          <w:highlight w:val="none"/>
        </w:rPr>
        <w:t>十、</w:t>
      </w:r>
      <w:r>
        <w:rPr>
          <w:color w:val="auto"/>
          <w:highlight w:val="none"/>
        </w:rPr>
        <w:t>我单位无以下不良信用记录情形：</w:t>
      </w:r>
    </w:p>
    <w:p w14:paraId="62273F0E">
      <w:pPr>
        <w:pStyle w:val="197"/>
        <w:spacing w:line="460" w:lineRule="exact"/>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35275FD8">
      <w:pPr>
        <w:pStyle w:val="197"/>
        <w:spacing w:line="460" w:lineRule="exact"/>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56889519">
      <w:pPr>
        <w:pStyle w:val="197"/>
        <w:spacing w:line="460" w:lineRule="exact"/>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28C43767">
      <w:pPr>
        <w:pStyle w:val="197"/>
        <w:spacing w:line="460" w:lineRule="exact"/>
        <w:ind w:firstLine="480"/>
        <w:rPr>
          <w:color w:val="auto"/>
          <w:highlight w:val="none"/>
        </w:rPr>
      </w:pPr>
      <w:r>
        <w:rPr>
          <w:rFonts w:hint="eastAsia"/>
          <w:color w:val="auto"/>
          <w:highlight w:val="none"/>
        </w:rPr>
        <w:t>十一、我单位法定代表人的社保缴纳单位为：</w:t>
      </w:r>
      <w:r>
        <w:rPr>
          <w:rFonts w:hint="eastAsia"/>
          <w:color w:val="auto"/>
          <w:highlight w:val="none"/>
          <w:u w:val="single"/>
        </w:rPr>
        <w:t xml:space="preserve">                    </w:t>
      </w:r>
      <w:r>
        <w:rPr>
          <w:rFonts w:hint="eastAsia"/>
          <w:color w:val="auto"/>
          <w:highlight w:val="none"/>
        </w:rPr>
        <w:t>。（请供应商如实填写）。</w:t>
      </w:r>
    </w:p>
    <w:p w14:paraId="5E2D4A57">
      <w:pPr>
        <w:pStyle w:val="197"/>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32B0010E">
      <w:pPr>
        <w:pStyle w:val="197"/>
        <w:spacing w:line="460" w:lineRule="exact"/>
        <w:ind w:firstLine="480"/>
        <w:rPr>
          <w:color w:val="auto"/>
          <w:highlight w:val="none"/>
        </w:rPr>
      </w:pPr>
    </w:p>
    <w:p w14:paraId="495AD582">
      <w:pPr>
        <w:pStyle w:val="197"/>
        <w:spacing w:line="460" w:lineRule="exact"/>
        <w:ind w:firstLine="480"/>
        <w:rPr>
          <w:color w:val="auto"/>
          <w:highlight w:val="none"/>
        </w:rPr>
      </w:pPr>
    </w:p>
    <w:p w14:paraId="1CE753D7">
      <w:pPr>
        <w:pStyle w:val="197"/>
        <w:spacing w:line="460" w:lineRule="exact"/>
        <w:ind w:firstLine="3600" w:firstLineChars="1500"/>
        <w:rPr>
          <w:color w:val="auto"/>
          <w:highlight w:val="none"/>
        </w:rPr>
      </w:pPr>
      <w:r>
        <w:rPr>
          <w:rFonts w:hint="eastAsia"/>
          <w:color w:val="auto"/>
          <w:highlight w:val="none"/>
        </w:rPr>
        <w:t>供应商：（加盖公章）</w:t>
      </w:r>
    </w:p>
    <w:p w14:paraId="6EFFF865">
      <w:pPr>
        <w:pStyle w:val="197"/>
        <w:spacing w:line="460" w:lineRule="exact"/>
        <w:ind w:firstLine="3600" w:firstLineChars="1500"/>
        <w:rPr>
          <w:color w:val="auto"/>
          <w:highlight w:val="none"/>
        </w:rPr>
      </w:pPr>
      <w:r>
        <w:rPr>
          <w:rFonts w:hint="eastAsia"/>
          <w:color w:val="auto"/>
          <w:highlight w:val="none"/>
        </w:rPr>
        <w:t>法定代表人（或单位负责人）签字或盖章：</w:t>
      </w:r>
    </w:p>
    <w:p w14:paraId="6EFBC3F8">
      <w:pPr>
        <w:pStyle w:val="197"/>
        <w:spacing w:line="460" w:lineRule="exact"/>
        <w:ind w:firstLine="3600" w:firstLineChars="1500"/>
        <w:rPr>
          <w:color w:val="auto"/>
          <w:highlight w:val="none"/>
        </w:rPr>
      </w:pPr>
      <w:r>
        <w:rPr>
          <w:rFonts w:hint="eastAsia"/>
          <w:color w:val="auto"/>
          <w:highlight w:val="none"/>
        </w:rPr>
        <w:t>日期：          年    月    日</w:t>
      </w:r>
    </w:p>
    <w:p w14:paraId="6978D7AC">
      <w:pPr>
        <w:spacing w:line="360" w:lineRule="auto"/>
        <w:rPr>
          <w:color w:val="auto"/>
          <w:sz w:val="24"/>
          <w:highlight w:val="none"/>
        </w:rPr>
      </w:pPr>
    </w:p>
    <w:p w14:paraId="4E97E5E9">
      <w:pPr>
        <w:spacing w:line="360" w:lineRule="auto"/>
        <w:rPr>
          <w:color w:val="auto"/>
          <w:sz w:val="24"/>
          <w:highlight w:val="none"/>
        </w:rPr>
      </w:pPr>
    </w:p>
    <w:p w14:paraId="4935001B">
      <w:pPr>
        <w:spacing w:line="360" w:lineRule="auto"/>
        <w:rPr>
          <w:color w:val="auto"/>
          <w:sz w:val="24"/>
          <w:highlight w:val="none"/>
        </w:rPr>
      </w:pPr>
    </w:p>
    <w:p w14:paraId="34A3AB2B">
      <w:pPr>
        <w:spacing w:line="360" w:lineRule="auto"/>
        <w:rPr>
          <w:color w:val="auto"/>
          <w:sz w:val="24"/>
          <w:highlight w:val="none"/>
        </w:rPr>
      </w:pPr>
    </w:p>
    <w:p w14:paraId="196AAC35">
      <w:pPr>
        <w:spacing w:line="360" w:lineRule="auto"/>
        <w:rPr>
          <w:color w:val="auto"/>
          <w:sz w:val="24"/>
          <w:highlight w:val="none"/>
        </w:rPr>
      </w:pPr>
    </w:p>
    <w:p w14:paraId="68DB4F77">
      <w:pPr>
        <w:spacing w:line="360" w:lineRule="auto"/>
        <w:rPr>
          <w:color w:val="auto"/>
          <w:sz w:val="24"/>
          <w:highlight w:val="none"/>
        </w:rPr>
      </w:pPr>
    </w:p>
    <w:p w14:paraId="4E5DD954">
      <w:pPr>
        <w:spacing w:line="360" w:lineRule="auto"/>
        <w:rPr>
          <w:color w:val="auto"/>
          <w:sz w:val="24"/>
          <w:highlight w:val="none"/>
        </w:rPr>
      </w:pPr>
    </w:p>
    <w:p w14:paraId="3047B6DD">
      <w:pPr>
        <w:spacing w:line="360" w:lineRule="auto"/>
        <w:rPr>
          <w:color w:val="auto"/>
          <w:sz w:val="24"/>
          <w:highlight w:val="none"/>
        </w:rPr>
      </w:pPr>
      <w:r>
        <w:rPr>
          <w:b/>
          <w:bCs/>
          <w:color w:val="auto"/>
          <w:sz w:val="24"/>
          <w:highlight w:val="none"/>
        </w:rPr>
        <w:t>说明：</w:t>
      </w:r>
      <w:r>
        <w:rPr>
          <w:rFonts w:hint="eastAsia"/>
          <w:color w:val="auto"/>
          <w:sz w:val="24"/>
          <w:highlight w:val="none"/>
        </w:rPr>
        <w:t>供应商承诺不实的，依据《政府采购法》第七十七条“提供虚假材料谋取中标、成交的”有关规定予以处理</w:t>
      </w:r>
      <w:r>
        <w:rPr>
          <w:color w:val="auto"/>
          <w:sz w:val="24"/>
          <w:highlight w:val="none"/>
        </w:rPr>
        <w:t>。</w:t>
      </w:r>
    </w:p>
    <w:p w14:paraId="1A390C62">
      <w:pPr>
        <w:tabs>
          <w:tab w:val="left" w:pos="5580"/>
        </w:tabs>
        <w:spacing w:line="360" w:lineRule="auto"/>
        <w:rPr>
          <w:color w:val="auto"/>
          <w:sz w:val="24"/>
          <w:highlight w:val="none"/>
        </w:rPr>
        <w:sectPr>
          <w:headerReference r:id="rId14" w:type="default"/>
          <w:footerReference r:id="rId15" w:type="default"/>
          <w:pgSz w:w="11907" w:h="16838"/>
          <w:pgMar w:top="1417" w:right="1134" w:bottom="1417" w:left="1361" w:header="850" w:footer="850" w:gutter="0"/>
          <w:pgBorders>
            <w:top w:val="none" w:sz="0" w:space="0"/>
            <w:left w:val="none" w:sz="0" w:space="0"/>
            <w:bottom w:val="none" w:sz="0" w:space="0"/>
            <w:right w:val="none" w:sz="0" w:space="0"/>
          </w:pgBorders>
          <w:cols w:space="0" w:num="1"/>
          <w:titlePg/>
          <w:docGrid w:linePitch="360" w:charSpace="0"/>
        </w:sectPr>
      </w:pPr>
    </w:p>
    <w:p w14:paraId="06BA0363">
      <w:pPr>
        <w:spacing w:line="360" w:lineRule="auto"/>
        <w:outlineLvl w:val="2"/>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2 落实政府采购政策需满足的资格要求</w:t>
      </w:r>
    </w:p>
    <w:p w14:paraId="25D4F14B">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b/>
          <w:color w:val="auto"/>
          <w:sz w:val="24"/>
          <w:szCs w:val="20"/>
          <w:highlight w:val="none"/>
        </w:rPr>
        <w:t>2-1 中小企业声明函</w:t>
      </w:r>
    </w:p>
    <w:p w14:paraId="4A6DC0D8">
      <w:pPr>
        <w:tabs>
          <w:tab w:val="left" w:pos="5580"/>
        </w:tabs>
        <w:spacing w:line="360" w:lineRule="auto"/>
        <w:rPr>
          <w:color w:val="auto"/>
          <w:sz w:val="24"/>
          <w:highlight w:val="none"/>
        </w:rPr>
      </w:pPr>
    </w:p>
    <w:p w14:paraId="725519D5">
      <w:pPr>
        <w:tabs>
          <w:tab w:val="left" w:pos="5580"/>
        </w:tabs>
        <w:spacing w:line="360" w:lineRule="auto"/>
        <w:rPr>
          <w:rFonts w:ascii="宋体" w:hAnsi="宋体"/>
          <w:color w:val="auto"/>
          <w:sz w:val="24"/>
          <w:highlight w:val="none"/>
        </w:rPr>
      </w:pPr>
      <w:r>
        <w:rPr>
          <w:rFonts w:ascii="宋体" w:hAnsi="宋体"/>
          <w:color w:val="auto"/>
          <w:sz w:val="24"/>
          <w:highlight w:val="none"/>
        </w:rPr>
        <w:t>说明：</w:t>
      </w:r>
    </w:p>
    <w:p w14:paraId="54691B88">
      <w:pPr>
        <w:tabs>
          <w:tab w:val="left" w:pos="5580"/>
        </w:tabs>
        <w:spacing w:line="360" w:lineRule="auto"/>
        <w:rPr>
          <w:rFonts w:ascii="宋体" w:hAnsi="宋体"/>
          <w:color w:val="auto"/>
          <w:sz w:val="24"/>
          <w:highlight w:val="none"/>
        </w:rPr>
      </w:pPr>
      <w:r>
        <w:rPr>
          <w:rFonts w:ascii="宋体" w:hAnsi="宋体"/>
          <w:color w:val="auto"/>
          <w:sz w:val="24"/>
          <w:highlight w:val="none"/>
        </w:rPr>
        <w:t>（1）如本项目（包）不专门面向中小企业预留采购份额，</w:t>
      </w:r>
      <w:r>
        <w:rPr>
          <w:rFonts w:hint="eastAsia" w:ascii="宋体" w:hAnsi="宋体"/>
          <w:color w:val="auto"/>
          <w:sz w:val="24"/>
          <w:highlight w:val="none"/>
        </w:rPr>
        <w:t>供应商非必须</w:t>
      </w:r>
      <w:r>
        <w:rPr>
          <w:rFonts w:ascii="宋体" w:hAnsi="宋体"/>
          <w:color w:val="auto"/>
          <w:sz w:val="24"/>
          <w:highlight w:val="none"/>
        </w:rPr>
        <w:t>提供</w:t>
      </w:r>
      <w:r>
        <w:rPr>
          <w:rFonts w:hint="eastAsia" w:ascii="宋体" w:hAnsi="宋体"/>
          <w:color w:val="auto"/>
          <w:sz w:val="24"/>
          <w:highlight w:val="none"/>
        </w:rPr>
        <w:t>；当小微企业拟享受中小企业扶持政策时，仍应提供</w:t>
      </w:r>
      <w:r>
        <w:rPr>
          <w:rFonts w:ascii="宋体" w:hAnsi="宋体"/>
          <w:color w:val="auto"/>
          <w:sz w:val="24"/>
          <w:highlight w:val="none"/>
        </w:rPr>
        <w:t>《中小企业声明函》</w:t>
      </w:r>
      <w:r>
        <w:rPr>
          <w:rFonts w:hint="eastAsia" w:ascii="宋体" w:hAnsi="宋体"/>
          <w:color w:val="auto"/>
          <w:sz w:val="24"/>
          <w:highlight w:val="none"/>
        </w:rPr>
        <w:t>，</w:t>
      </w:r>
      <w:r>
        <w:rPr>
          <w:rFonts w:ascii="宋体" w:hAnsi="宋体"/>
          <w:color w:val="auto"/>
          <w:sz w:val="24"/>
          <w:highlight w:val="none"/>
        </w:rPr>
        <w:t>否则不得享受相关中小企业扶持政策。</w:t>
      </w:r>
    </w:p>
    <w:p w14:paraId="501553DF">
      <w:pPr>
        <w:tabs>
          <w:tab w:val="left" w:pos="5580"/>
        </w:tabs>
        <w:spacing w:line="360" w:lineRule="auto"/>
        <w:rPr>
          <w:rFonts w:ascii="宋体" w:hAnsi="宋体"/>
          <w:color w:val="auto"/>
          <w:sz w:val="24"/>
          <w:highlight w:val="none"/>
        </w:rPr>
      </w:pPr>
      <w:r>
        <w:rPr>
          <w:rFonts w:ascii="宋体" w:hAnsi="宋体"/>
          <w:color w:val="auto"/>
          <w:sz w:val="24"/>
          <w:highlight w:val="none"/>
        </w:rPr>
        <w:t>（2）如本项目（包）专门面向中小/小微企业采购，须提供《中小企业声明函》</w:t>
      </w:r>
      <w:r>
        <w:rPr>
          <w:rFonts w:ascii="宋体" w:hAnsi="宋体"/>
          <w:color w:val="auto"/>
          <w:sz w:val="24"/>
          <w:szCs w:val="20"/>
          <w:highlight w:val="none"/>
        </w:rPr>
        <w:t>（实质性格式）</w:t>
      </w:r>
      <w:r>
        <w:rPr>
          <w:rFonts w:ascii="宋体" w:hAnsi="宋体"/>
          <w:color w:val="auto"/>
          <w:sz w:val="24"/>
          <w:highlight w:val="none"/>
        </w:rPr>
        <w:t>。</w:t>
      </w:r>
    </w:p>
    <w:p w14:paraId="1F60F3A6">
      <w:pPr>
        <w:tabs>
          <w:tab w:val="left" w:pos="5580"/>
        </w:tabs>
        <w:spacing w:line="360" w:lineRule="auto"/>
        <w:rPr>
          <w:rFonts w:ascii="宋体" w:hAnsi="宋体"/>
          <w:color w:val="auto"/>
          <w:sz w:val="24"/>
          <w:highlight w:val="none"/>
        </w:rPr>
      </w:pPr>
      <w:r>
        <w:rPr>
          <w:rFonts w:ascii="宋体" w:hAnsi="宋体"/>
          <w:color w:val="auto"/>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08ADBFDA">
      <w:pPr>
        <w:tabs>
          <w:tab w:val="left" w:pos="5580"/>
        </w:tabs>
        <w:spacing w:line="360" w:lineRule="auto"/>
        <w:rPr>
          <w:rFonts w:ascii="宋体" w:hAnsi="宋体"/>
          <w:color w:val="auto"/>
          <w:sz w:val="24"/>
          <w:highlight w:val="none"/>
        </w:rPr>
      </w:pPr>
      <w:r>
        <w:rPr>
          <w:rFonts w:ascii="宋体" w:hAnsi="宋体"/>
          <w:color w:val="auto"/>
          <w:sz w:val="24"/>
          <w:highlight w:val="none"/>
        </w:rPr>
        <w:t>（4）其它</w:t>
      </w:r>
    </w:p>
    <w:p w14:paraId="3442738F">
      <w:pPr>
        <w:tabs>
          <w:tab w:val="left" w:pos="5580"/>
        </w:tabs>
        <w:spacing w:line="360" w:lineRule="auto"/>
        <w:rPr>
          <w:rFonts w:ascii="宋体" w:hAnsi="宋体"/>
          <w:color w:val="auto"/>
          <w:sz w:val="24"/>
          <w:highlight w:val="none"/>
        </w:rPr>
      </w:pPr>
      <w:r>
        <w:rPr>
          <w:rFonts w:ascii="宋体" w:hAnsi="宋体"/>
          <w:color w:val="auto"/>
          <w:sz w:val="24"/>
          <w:highlight w:val="none"/>
        </w:rPr>
        <w:t>1）中小企业参加政府采购活动，应当出具此格式文件。《中小企业声明函》由参加政府采购活动的供应商出具。联合体</w:t>
      </w:r>
      <w:r>
        <w:rPr>
          <w:rFonts w:hint="eastAsia" w:ascii="宋体" w:hAnsi="宋体"/>
          <w:color w:val="auto"/>
          <w:sz w:val="24"/>
          <w:highlight w:val="none"/>
        </w:rPr>
        <w:t>响应</w:t>
      </w:r>
      <w:r>
        <w:rPr>
          <w:rFonts w:ascii="宋体" w:hAnsi="宋体"/>
          <w:color w:val="auto"/>
          <w:sz w:val="24"/>
          <w:highlight w:val="none"/>
        </w:rPr>
        <w:t>的，《中小企业声明函》由牵头人出具。</w:t>
      </w:r>
    </w:p>
    <w:p w14:paraId="7DDA9642">
      <w:pPr>
        <w:tabs>
          <w:tab w:val="left" w:pos="5580"/>
        </w:tabs>
        <w:spacing w:line="360" w:lineRule="auto"/>
        <w:rPr>
          <w:rFonts w:ascii="宋体" w:hAnsi="宋体"/>
          <w:color w:val="auto"/>
          <w:sz w:val="24"/>
          <w:highlight w:val="none"/>
        </w:rPr>
      </w:pPr>
      <w:r>
        <w:rPr>
          <w:rFonts w:ascii="宋体" w:hAnsi="宋体"/>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2BAA78FF">
      <w:pPr>
        <w:tabs>
          <w:tab w:val="left" w:pos="5580"/>
        </w:tabs>
        <w:spacing w:line="360" w:lineRule="auto"/>
        <w:rPr>
          <w:rFonts w:ascii="宋体" w:hAnsi="宋体"/>
          <w:color w:val="auto"/>
          <w:sz w:val="24"/>
          <w:highlight w:val="none"/>
        </w:rPr>
      </w:pPr>
      <w:r>
        <w:rPr>
          <w:rFonts w:ascii="宋体" w:hAnsi="宋体"/>
          <w:color w:val="auto"/>
          <w:sz w:val="24"/>
          <w:highlight w:val="none"/>
        </w:rPr>
        <w:t>3）对于多标的的采购项目，供应商应充分、准确地了解所投产品制造企业信息。对相关情况了解不清楚的，不建议填报本声明函。</w:t>
      </w:r>
    </w:p>
    <w:p w14:paraId="302C3B4C">
      <w:pPr>
        <w:tabs>
          <w:tab w:val="left" w:pos="5580"/>
        </w:tabs>
        <w:spacing w:line="360" w:lineRule="auto"/>
        <w:rPr>
          <w:rFonts w:ascii="宋体" w:hAnsi="宋体"/>
          <w:color w:val="auto"/>
          <w:sz w:val="24"/>
          <w:highlight w:val="none"/>
        </w:rPr>
      </w:pPr>
      <w:r>
        <w:rPr>
          <w:rFonts w:ascii="宋体" w:hAnsi="宋体"/>
          <w:color w:val="auto"/>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3663BA45">
      <w:pPr>
        <w:tabs>
          <w:tab w:val="left" w:pos="5580"/>
        </w:tabs>
        <w:spacing w:line="360" w:lineRule="auto"/>
        <w:rPr>
          <w:color w:val="auto"/>
          <w:sz w:val="24"/>
          <w:highlight w:val="none"/>
        </w:rPr>
      </w:pPr>
    </w:p>
    <w:p w14:paraId="1EF5444D">
      <w:pPr>
        <w:widowControl/>
        <w:jc w:val="left"/>
        <w:rPr>
          <w:color w:val="auto"/>
          <w:sz w:val="24"/>
          <w:highlight w:val="none"/>
        </w:rPr>
      </w:pPr>
      <w:r>
        <w:rPr>
          <w:color w:val="auto"/>
          <w:sz w:val="24"/>
          <w:highlight w:val="none"/>
        </w:rPr>
        <w:br w:type="page"/>
      </w:r>
    </w:p>
    <w:p w14:paraId="6DBCE28C">
      <w:pPr>
        <w:spacing w:before="240" w:beforeLines="100" w:after="240" w:afterLines="100" w:line="360" w:lineRule="auto"/>
        <w:jc w:val="center"/>
        <w:rPr>
          <w:b/>
          <w:bCs/>
          <w:color w:val="auto"/>
          <w:sz w:val="36"/>
          <w:szCs w:val="36"/>
          <w:highlight w:val="none"/>
        </w:rPr>
      </w:pPr>
      <w:r>
        <w:rPr>
          <w:rFonts w:hint="eastAsia"/>
          <w:b/>
          <w:bCs/>
          <w:color w:val="auto"/>
          <w:sz w:val="36"/>
          <w:szCs w:val="36"/>
          <w:highlight w:val="none"/>
        </w:rPr>
        <w:t>中小企业声明函（服务）格式</w:t>
      </w:r>
    </w:p>
    <w:p w14:paraId="4CD7D244">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___（单位名称）的___（项目名称）采购活动，工程的施工单位全部为符合政策要求的中小企业（或者：服务全部由符合政策要求的中小企业承接）。相关企业（含联合体中的中小企业、签订分包意向协议的中小企业）的具体情况如下：</w:t>
      </w:r>
    </w:p>
    <w:p w14:paraId="4B486E3F">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，属于___（中型企业、小型企业、微型企业）；</w:t>
      </w:r>
    </w:p>
    <w:p w14:paraId="3A7F666F">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6C157CA1">
      <w:pPr>
        <w:spacing w:line="360" w:lineRule="auto"/>
        <w:ind w:firstLine="504"/>
        <w:rPr>
          <w:color w:val="auto"/>
          <w:spacing w:val="6"/>
          <w:sz w:val="24"/>
          <w:highlight w:val="none"/>
        </w:rPr>
      </w:pPr>
    </w:p>
    <w:p w14:paraId="48A5F409">
      <w:pPr>
        <w:spacing w:line="360" w:lineRule="auto"/>
        <w:ind w:firstLine="504"/>
        <w:rPr>
          <w:color w:val="auto"/>
          <w:spacing w:val="6"/>
          <w:sz w:val="24"/>
          <w:highlight w:val="none"/>
        </w:rPr>
      </w:pPr>
      <w:r>
        <w:rPr>
          <w:color w:val="auto"/>
          <w:spacing w:val="6"/>
          <w:sz w:val="24"/>
          <w:highlight w:val="none"/>
        </w:rPr>
        <w:t>……</w:t>
      </w:r>
    </w:p>
    <w:p w14:paraId="6D7EE2BE">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2CFDA772">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1F4A1F4D">
      <w:pPr>
        <w:spacing w:line="360" w:lineRule="auto"/>
        <w:ind w:right="360" w:firstLine="480"/>
        <w:jc w:val="right"/>
        <w:rPr>
          <w:color w:val="auto"/>
          <w:sz w:val="24"/>
          <w:highlight w:val="none"/>
        </w:rPr>
      </w:pPr>
    </w:p>
    <w:p w14:paraId="24653C19">
      <w:pPr>
        <w:spacing w:line="360" w:lineRule="auto"/>
        <w:ind w:right="360" w:firstLine="480"/>
        <w:jc w:val="right"/>
        <w:rPr>
          <w:color w:val="auto"/>
          <w:sz w:val="24"/>
          <w:highlight w:val="none"/>
        </w:rPr>
      </w:pPr>
      <w:r>
        <w:rPr>
          <w:color w:val="auto"/>
          <w:sz w:val="24"/>
          <w:highlight w:val="none"/>
        </w:rPr>
        <w:t>企业名称（加盖公章）：________</w:t>
      </w:r>
    </w:p>
    <w:p w14:paraId="53059B37">
      <w:pPr>
        <w:spacing w:line="360" w:lineRule="auto"/>
        <w:ind w:right="360" w:firstLine="480"/>
        <w:jc w:val="right"/>
        <w:rPr>
          <w:color w:val="auto"/>
          <w:sz w:val="24"/>
          <w:highlight w:val="none"/>
        </w:rPr>
      </w:pPr>
      <w:r>
        <w:rPr>
          <w:color w:val="auto"/>
          <w:sz w:val="24"/>
          <w:highlight w:val="none"/>
        </w:rPr>
        <w:t>日 期：________</w:t>
      </w:r>
    </w:p>
    <w:p w14:paraId="76B312D7">
      <w:pPr>
        <w:adjustRightInd w:val="0"/>
        <w:snapToGrid w:val="0"/>
        <w:jc w:val="left"/>
        <w:rPr>
          <w:color w:val="auto"/>
          <w:sz w:val="24"/>
          <w:szCs w:val="21"/>
          <w:highlight w:val="none"/>
        </w:rPr>
      </w:pPr>
    </w:p>
    <w:p w14:paraId="761773FA">
      <w:pPr>
        <w:adjustRightInd w:val="0"/>
        <w:snapToGrid w:val="0"/>
        <w:jc w:val="left"/>
        <w:rPr>
          <w:color w:val="auto"/>
          <w:sz w:val="24"/>
          <w:szCs w:val="21"/>
          <w:highlight w:val="none"/>
        </w:rPr>
      </w:pPr>
    </w:p>
    <w:tbl>
      <w:tblPr>
        <w:tblStyle w:val="3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21AF17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3C56208A">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30002D57">
      <w:pPr>
        <w:widowControl/>
        <w:jc w:val="left"/>
        <w:rPr>
          <w:rFonts w:hint="eastAsia"/>
          <w:color w:val="auto"/>
          <w:sz w:val="24"/>
          <w:szCs w:val="20"/>
          <w:highlight w:val="none"/>
        </w:rPr>
      </w:pPr>
    </w:p>
    <w:p w14:paraId="0476D3D7">
      <w:pPr>
        <w:widowControl/>
        <w:jc w:val="left"/>
        <w:rPr>
          <w:rFonts w:hint="eastAsia"/>
          <w:color w:val="auto"/>
          <w:sz w:val="24"/>
          <w:szCs w:val="20"/>
          <w:highlight w:val="none"/>
        </w:rPr>
      </w:pPr>
    </w:p>
    <w:p w14:paraId="63F9416C">
      <w:pPr>
        <w:widowControl/>
        <w:jc w:val="left"/>
        <w:rPr>
          <w:rFonts w:hint="eastAsia"/>
          <w:color w:val="auto"/>
          <w:sz w:val="24"/>
          <w:szCs w:val="20"/>
          <w:highlight w:val="none"/>
        </w:rPr>
      </w:pPr>
    </w:p>
    <w:p w14:paraId="08E58370">
      <w:pPr>
        <w:widowControl/>
        <w:jc w:val="left"/>
        <w:rPr>
          <w:rFonts w:hint="eastAsia"/>
          <w:color w:val="auto"/>
          <w:sz w:val="24"/>
          <w:szCs w:val="20"/>
          <w:highlight w:val="none"/>
        </w:rPr>
      </w:pPr>
    </w:p>
    <w:p w14:paraId="79086A9B">
      <w:pPr>
        <w:widowControl/>
        <w:jc w:val="left"/>
        <w:rPr>
          <w:rFonts w:hint="eastAsia"/>
          <w:color w:val="auto"/>
          <w:sz w:val="24"/>
          <w:szCs w:val="20"/>
          <w:highlight w:val="none"/>
        </w:rPr>
      </w:pPr>
    </w:p>
    <w:p w14:paraId="674BCBB6">
      <w:pPr>
        <w:widowControl/>
        <w:jc w:val="left"/>
        <w:rPr>
          <w:rFonts w:hint="eastAsia"/>
          <w:color w:val="auto"/>
          <w:sz w:val="24"/>
          <w:szCs w:val="20"/>
          <w:highlight w:val="none"/>
        </w:rPr>
      </w:pPr>
    </w:p>
    <w:p w14:paraId="300C39C4">
      <w:pPr>
        <w:widowControl/>
        <w:jc w:val="left"/>
        <w:rPr>
          <w:rFonts w:hint="eastAsia"/>
          <w:color w:val="auto"/>
          <w:sz w:val="24"/>
          <w:szCs w:val="20"/>
          <w:highlight w:val="none"/>
        </w:rPr>
      </w:pPr>
    </w:p>
    <w:p w14:paraId="5ADF4D6A">
      <w:pPr>
        <w:widowControl/>
        <w:jc w:val="left"/>
        <w:rPr>
          <w:rFonts w:hint="eastAsia"/>
          <w:color w:val="auto"/>
          <w:sz w:val="24"/>
          <w:szCs w:val="20"/>
          <w:highlight w:val="none"/>
        </w:rPr>
      </w:pPr>
    </w:p>
    <w:p w14:paraId="77B1E3E9">
      <w:pPr>
        <w:widowControl/>
        <w:jc w:val="left"/>
        <w:rPr>
          <w:rFonts w:hint="eastAsia"/>
          <w:color w:val="auto"/>
          <w:sz w:val="24"/>
          <w:szCs w:val="20"/>
          <w:highlight w:val="none"/>
        </w:rPr>
      </w:pPr>
    </w:p>
    <w:p w14:paraId="70338359">
      <w:pPr>
        <w:widowControl/>
        <w:jc w:val="left"/>
        <w:rPr>
          <w:rFonts w:hint="eastAsia"/>
          <w:color w:val="auto"/>
          <w:sz w:val="24"/>
          <w:szCs w:val="20"/>
          <w:highlight w:val="none"/>
        </w:rPr>
      </w:pPr>
    </w:p>
    <w:p w14:paraId="358B174F">
      <w:pPr>
        <w:widowControl/>
        <w:jc w:val="left"/>
        <w:rPr>
          <w:rFonts w:hint="eastAsia"/>
          <w:color w:val="auto"/>
          <w:sz w:val="24"/>
          <w:szCs w:val="20"/>
          <w:highlight w:val="none"/>
        </w:rPr>
      </w:pPr>
    </w:p>
    <w:p w14:paraId="3801F8E8">
      <w:pPr>
        <w:widowControl/>
        <w:jc w:val="left"/>
        <w:rPr>
          <w:rFonts w:hint="eastAsia"/>
          <w:color w:val="auto"/>
          <w:sz w:val="24"/>
          <w:szCs w:val="20"/>
          <w:highlight w:val="none"/>
        </w:rPr>
      </w:pPr>
    </w:p>
    <w:p w14:paraId="290454BF">
      <w:pPr>
        <w:widowControl/>
        <w:jc w:val="left"/>
        <w:rPr>
          <w:rFonts w:hint="eastAsia"/>
          <w:color w:val="auto"/>
          <w:sz w:val="24"/>
          <w:szCs w:val="20"/>
          <w:highlight w:val="none"/>
        </w:rPr>
      </w:pPr>
    </w:p>
    <w:p w14:paraId="1EA22A97">
      <w:pPr>
        <w:spacing w:before="240" w:beforeLines="100" w:after="240" w:afterLines="100" w:line="360" w:lineRule="auto"/>
        <w:jc w:val="center"/>
        <w:rPr>
          <w:color w:val="auto"/>
          <w:sz w:val="24"/>
          <w:szCs w:val="20"/>
          <w:highlight w:val="none"/>
        </w:rPr>
      </w:pPr>
    </w:p>
    <w:p w14:paraId="77C045D7">
      <w:pPr>
        <w:jc w:val="center"/>
        <w:rPr>
          <w:b/>
          <w:color w:val="auto"/>
          <w:sz w:val="36"/>
          <w:szCs w:val="36"/>
          <w:highlight w:val="none"/>
        </w:rPr>
      </w:pPr>
      <w:r>
        <w:rPr>
          <w:rFonts w:hint="eastAsia"/>
          <w:b/>
          <w:color w:val="auto"/>
          <w:sz w:val="36"/>
          <w:szCs w:val="36"/>
          <w:highlight w:val="none"/>
        </w:rPr>
        <w:t>残疾人福利性单位声明函格式</w:t>
      </w:r>
      <w:r>
        <w:rPr>
          <w:b/>
          <w:color w:val="auto"/>
          <w:sz w:val="36"/>
          <w:szCs w:val="36"/>
          <w:highlight w:val="none"/>
        </w:rPr>
        <w:t xml:space="preserve">       </w:t>
      </w:r>
    </w:p>
    <w:p w14:paraId="5EE574D4">
      <w:pPr>
        <w:jc w:val="center"/>
        <w:rPr>
          <w:color w:val="auto"/>
          <w:sz w:val="36"/>
          <w:szCs w:val="36"/>
          <w:highlight w:val="none"/>
        </w:rPr>
      </w:pPr>
    </w:p>
    <w:p w14:paraId="2A88B60A">
      <w:pPr>
        <w:spacing w:line="588" w:lineRule="exact"/>
        <w:ind w:firstLine="504"/>
        <w:rPr>
          <w:rFonts w:ascii="宋体" w:hAnsi="宋体"/>
          <w:color w:val="auto"/>
          <w:spacing w:val="6"/>
          <w:sz w:val="24"/>
          <w:highlight w:val="none"/>
        </w:rPr>
      </w:pPr>
      <w:r>
        <w:rPr>
          <w:rFonts w:ascii="宋体" w:hAnsi="宋体"/>
          <w:color w:val="auto"/>
          <w:spacing w:val="6"/>
          <w:sz w:val="24"/>
          <w:highlight w:val="none"/>
        </w:rPr>
        <w:t>本单位郑重声明，根据《财政部 民政部 中国残疾人联合会关于促进残疾人就业政府采购政策的通知》（财库</w:t>
      </w:r>
      <w:r>
        <w:rPr>
          <w:rFonts w:ascii="宋体" w:hAnsi="宋体"/>
          <w:color w:val="auto"/>
          <w:sz w:val="24"/>
          <w:highlight w:val="none"/>
        </w:rPr>
        <w:t>〔2017〕 141</w:t>
      </w:r>
      <w:r>
        <w:rPr>
          <w:rFonts w:ascii="宋体" w:hAnsi="宋体"/>
          <w:color w:val="auto"/>
          <w:spacing w:val="6"/>
          <w:sz w:val="24"/>
          <w:highlight w:val="none"/>
        </w:rPr>
        <w:t>号）的规定，本单位</w:t>
      </w:r>
      <w:r>
        <w:rPr>
          <w:rFonts w:ascii="宋体" w:hAnsi="宋体"/>
          <w:b/>
          <w:color w:val="auto"/>
          <w:sz w:val="24"/>
          <w:highlight w:val="none"/>
        </w:rPr>
        <w:t>（请进行勾选）</w:t>
      </w:r>
      <w:r>
        <w:rPr>
          <w:rFonts w:ascii="宋体" w:hAnsi="宋体"/>
          <w:color w:val="auto"/>
          <w:spacing w:val="6"/>
          <w:sz w:val="24"/>
          <w:highlight w:val="none"/>
        </w:rPr>
        <w:t>：</w:t>
      </w:r>
    </w:p>
    <w:p w14:paraId="7E7E265F">
      <w:pPr>
        <w:spacing w:line="588" w:lineRule="exact"/>
        <w:ind w:firstLine="482"/>
        <w:rPr>
          <w:rFonts w:ascii="宋体" w:hAnsi="宋体"/>
          <w:b/>
          <w:color w:val="auto"/>
          <w:spacing w:val="6"/>
          <w:sz w:val="24"/>
          <w:highlight w:val="none"/>
        </w:rPr>
      </w:pPr>
      <w:r>
        <w:rPr>
          <w:rFonts w:ascii="宋体" w:hAnsi="宋体"/>
          <w:b/>
          <w:color w:val="auto"/>
          <w:sz w:val="24"/>
          <w:highlight w:val="none"/>
        </w:rPr>
        <w:t>□</w:t>
      </w:r>
      <w:r>
        <w:rPr>
          <w:rFonts w:ascii="宋体" w:hAnsi="宋体"/>
          <w:b/>
          <w:color w:val="auto"/>
          <w:spacing w:val="6"/>
          <w:sz w:val="24"/>
          <w:highlight w:val="none"/>
        </w:rPr>
        <w:t>不属于符合条件的残疾人福利性单位。</w:t>
      </w:r>
    </w:p>
    <w:p w14:paraId="7F54ECE2">
      <w:pPr>
        <w:spacing w:line="588" w:lineRule="exact"/>
        <w:ind w:firstLine="482"/>
        <w:rPr>
          <w:rFonts w:ascii="宋体" w:hAnsi="宋体"/>
          <w:color w:val="auto"/>
          <w:spacing w:val="6"/>
          <w:sz w:val="24"/>
          <w:highlight w:val="none"/>
        </w:rPr>
      </w:pPr>
      <w:r>
        <w:rPr>
          <w:rFonts w:ascii="宋体" w:hAnsi="宋体"/>
          <w:b/>
          <w:color w:val="auto"/>
          <w:sz w:val="24"/>
          <w:highlight w:val="none"/>
        </w:rPr>
        <w:t>□</w:t>
      </w:r>
      <w:r>
        <w:rPr>
          <w:rFonts w:ascii="宋体" w:hAnsi="宋体"/>
          <w:b/>
          <w:color w:val="auto"/>
          <w:spacing w:val="6"/>
          <w:sz w:val="24"/>
          <w:highlight w:val="none"/>
        </w:rPr>
        <w:t>属于符合条件的残疾人福利性单位，</w:t>
      </w:r>
      <w:r>
        <w:rPr>
          <w:rFonts w:ascii="宋体" w:hAnsi="宋体"/>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5DE55580">
      <w:pPr>
        <w:spacing w:line="588" w:lineRule="exact"/>
        <w:ind w:firstLine="506" w:firstLineChars="200"/>
        <w:rPr>
          <w:rFonts w:ascii="宋体" w:hAnsi="宋体"/>
          <w:color w:val="auto"/>
          <w:spacing w:val="6"/>
          <w:sz w:val="24"/>
          <w:highlight w:val="none"/>
        </w:rPr>
      </w:pPr>
      <w:r>
        <w:rPr>
          <w:rFonts w:ascii="宋体" w:hAnsi="宋体"/>
          <w:b/>
          <w:color w:val="auto"/>
          <w:spacing w:val="6"/>
          <w:sz w:val="24"/>
          <w:highlight w:val="none"/>
        </w:rPr>
        <w:t>本单位对上述声明的真实性负责。如有虚假，将依法承担相应责任。</w:t>
      </w:r>
    </w:p>
    <w:p w14:paraId="4A299B5E">
      <w:pPr>
        <w:spacing w:line="588" w:lineRule="exact"/>
        <w:ind w:firstLine="504" w:firstLineChars="200"/>
        <w:rPr>
          <w:color w:val="auto"/>
          <w:spacing w:val="6"/>
          <w:sz w:val="24"/>
          <w:highlight w:val="none"/>
        </w:rPr>
      </w:pPr>
    </w:p>
    <w:p w14:paraId="2DA899CA">
      <w:pPr>
        <w:spacing w:line="588" w:lineRule="exact"/>
        <w:ind w:firstLine="504" w:firstLineChars="200"/>
        <w:rPr>
          <w:color w:val="auto"/>
          <w:spacing w:val="6"/>
          <w:sz w:val="24"/>
          <w:highlight w:val="none"/>
        </w:rPr>
      </w:pPr>
    </w:p>
    <w:p w14:paraId="498178C7">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0D9D1DEB">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40A3E8CE">
      <w:pPr>
        <w:widowControl/>
        <w:jc w:val="left"/>
        <w:rPr>
          <w:rFonts w:hint="eastAsia"/>
          <w:color w:val="auto"/>
          <w:sz w:val="24"/>
          <w:szCs w:val="20"/>
          <w:highlight w:val="none"/>
        </w:rPr>
      </w:pPr>
    </w:p>
    <w:p w14:paraId="1EC32B92">
      <w:pPr>
        <w:widowControl/>
        <w:jc w:val="left"/>
        <w:rPr>
          <w:rFonts w:hint="eastAsia"/>
          <w:color w:val="auto"/>
          <w:sz w:val="24"/>
          <w:szCs w:val="20"/>
          <w:highlight w:val="none"/>
        </w:rPr>
      </w:pPr>
    </w:p>
    <w:p w14:paraId="5EBA6222">
      <w:pPr>
        <w:widowControl/>
        <w:jc w:val="left"/>
        <w:rPr>
          <w:rFonts w:hint="eastAsia"/>
          <w:color w:val="auto"/>
          <w:sz w:val="24"/>
          <w:szCs w:val="20"/>
          <w:highlight w:val="none"/>
        </w:rPr>
      </w:pPr>
    </w:p>
    <w:p w14:paraId="0B941CAC">
      <w:pPr>
        <w:widowControl/>
        <w:jc w:val="left"/>
        <w:rPr>
          <w:rFonts w:hint="eastAsia"/>
          <w:color w:val="auto"/>
          <w:sz w:val="24"/>
          <w:szCs w:val="20"/>
          <w:highlight w:val="none"/>
        </w:rPr>
      </w:pPr>
    </w:p>
    <w:p w14:paraId="0C7177AA">
      <w:pPr>
        <w:widowControl/>
        <w:jc w:val="left"/>
        <w:rPr>
          <w:rFonts w:hint="eastAsia"/>
          <w:color w:val="auto"/>
          <w:sz w:val="24"/>
          <w:szCs w:val="20"/>
          <w:highlight w:val="none"/>
        </w:rPr>
      </w:pPr>
    </w:p>
    <w:p w14:paraId="3C7C1962">
      <w:pPr>
        <w:widowControl/>
        <w:jc w:val="left"/>
        <w:rPr>
          <w:rFonts w:hint="eastAsia"/>
          <w:color w:val="auto"/>
          <w:sz w:val="24"/>
          <w:szCs w:val="20"/>
          <w:highlight w:val="none"/>
        </w:rPr>
      </w:pPr>
    </w:p>
    <w:p w14:paraId="72BAC85D">
      <w:pPr>
        <w:widowControl/>
        <w:jc w:val="left"/>
        <w:rPr>
          <w:rFonts w:hint="eastAsia"/>
          <w:color w:val="auto"/>
          <w:sz w:val="24"/>
          <w:szCs w:val="20"/>
          <w:highlight w:val="none"/>
        </w:rPr>
      </w:pPr>
    </w:p>
    <w:p w14:paraId="0F541A5D">
      <w:pPr>
        <w:widowControl/>
        <w:jc w:val="left"/>
        <w:rPr>
          <w:rFonts w:hint="eastAsia"/>
          <w:color w:val="auto"/>
          <w:sz w:val="24"/>
          <w:szCs w:val="20"/>
          <w:highlight w:val="none"/>
        </w:rPr>
      </w:pPr>
    </w:p>
    <w:p w14:paraId="0A7CCA37">
      <w:pPr>
        <w:widowControl/>
        <w:jc w:val="left"/>
        <w:rPr>
          <w:rFonts w:hint="eastAsia"/>
          <w:color w:val="auto"/>
          <w:sz w:val="24"/>
          <w:szCs w:val="20"/>
          <w:highlight w:val="none"/>
        </w:rPr>
      </w:pPr>
    </w:p>
    <w:p w14:paraId="37705625">
      <w:pPr>
        <w:widowControl/>
        <w:jc w:val="left"/>
        <w:rPr>
          <w:rFonts w:hint="eastAsia"/>
          <w:color w:val="auto"/>
          <w:sz w:val="24"/>
          <w:szCs w:val="20"/>
          <w:highlight w:val="none"/>
        </w:rPr>
      </w:pPr>
    </w:p>
    <w:p w14:paraId="2A79A257">
      <w:pPr>
        <w:widowControl/>
        <w:jc w:val="left"/>
        <w:rPr>
          <w:rFonts w:hint="eastAsia"/>
          <w:color w:val="auto"/>
          <w:sz w:val="24"/>
          <w:szCs w:val="20"/>
          <w:highlight w:val="none"/>
        </w:rPr>
      </w:pPr>
    </w:p>
    <w:p w14:paraId="0FF77E6A">
      <w:pPr>
        <w:widowControl/>
        <w:jc w:val="left"/>
        <w:rPr>
          <w:rFonts w:hint="eastAsia"/>
          <w:color w:val="auto"/>
          <w:sz w:val="24"/>
          <w:szCs w:val="20"/>
          <w:highlight w:val="none"/>
        </w:rPr>
      </w:pPr>
    </w:p>
    <w:p w14:paraId="783466E5">
      <w:pPr>
        <w:widowControl/>
        <w:jc w:val="left"/>
        <w:rPr>
          <w:rFonts w:hint="eastAsia"/>
          <w:color w:val="auto"/>
          <w:sz w:val="24"/>
          <w:szCs w:val="20"/>
          <w:highlight w:val="none"/>
        </w:rPr>
      </w:pPr>
    </w:p>
    <w:p w14:paraId="5C5A3F1B">
      <w:pPr>
        <w:widowControl/>
        <w:jc w:val="left"/>
        <w:rPr>
          <w:rFonts w:hint="eastAsia"/>
          <w:color w:val="auto"/>
          <w:sz w:val="24"/>
          <w:szCs w:val="20"/>
          <w:highlight w:val="none"/>
        </w:rPr>
      </w:pPr>
    </w:p>
    <w:p w14:paraId="24A14A56">
      <w:pPr>
        <w:widowControl/>
        <w:jc w:val="left"/>
        <w:rPr>
          <w:rFonts w:hint="eastAsia"/>
          <w:color w:val="auto"/>
          <w:sz w:val="24"/>
          <w:szCs w:val="20"/>
          <w:highlight w:val="none"/>
        </w:rPr>
      </w:pPr>
    </w:p>
    <w:p w14:paraId="62AF67D8">
      <w:pPr>
        <w:widowControl/>
        <w:jc w:val="left"/>
        <w:rPr>
          <w:rFonts w:hint="eastAsia"/>
          <w:color w:val="auto"/>
          <w:sz w:val="24"/>
          <w:szCs w:val="20"/>
          <w:highlight w:val="none"/>
        </w:rPr>
      </w:pPr>
    </w:p>
    <w:p w14:paraId="22841523">
      <w:pPr>
        <w:widowControl/>
        <w:jc w:val="left"/>
        <w:rPr>
          <w:rFonts w:hint="eastAsia"/>
          <w:color w:val="auto"/>
          <w:sz w:val="24"/>
          <w:szCs w:val="20"/>
          <w:highlight w:val="none"/>
        </w:rPr>
      </w:pPr>
    </w:p>
    <w:p w14:paraId="1D6BFEED">
      <w:pPr>
        <w:widowControl/>
        <w:jc w:val="left"/>
        <w:rPr>
          <w:rFonts w:hint="eastAsia"/>
          <w:color w:val="auto"/>
          <w:sz w:val="24"/>
          <w:szCs w:val="20"/>
          <w:highlight w:val="none"/>
        </w:rPr>
      </w:pPr>
    </w:p>
    <w:p w14:paraId="3A0CA42A">
      <w:pPr>
        <w:widowControl/>
        <w:jc w:val="left"/>
        <w:rPr>
          <w:rFonts w:hint="eastAsia"/>
          <w:color w:val="auto"/>
          <w:sz w:val="24"/>
          <w:szCs w:val="20"/>
          <w:highlight w:val="none"/>
        </w:rPr>
      </w:pPr>
    </w:p>
    <w:p w14:paraId="61A499F2">
      <w:pPr>
        <w:widowControl/>
        <w:jc w:val="left"/>
        <w:rPr>
          <w:rFonts w:hint="eastAsia"/>
          <w:color w:val="auto"/>
          <w:sz w:val="24"/>
          <w:szCs w:val="20"/>
          <w:highlight w:val="none"/>
        </w:rPr>
      </w:pPr>
    </w:p>
    <w:p w14:paraId="6FAF715C">
      <w:pPr>
        <w:widowControl/>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3本项目的特</w:t>
      </w:r>
      <w:r>
        <w:rPr>
          <w:rFonts w:hint="eastAsia" w:ascii="宋体" w:hAnsi="宋体" w:cs="宋体"/>
          <w:color w:val="auto"/>
          <w:sz w:val="24"/>
          <w:szCs w:val="20"/>
          <w:highlight w:val="none"/>
          <w:lang w:val="en-US" w:eastAsia="zh-CN"/>
        </w:rPr>
        <w:t>定</w:t>
      </w:r>
      <w:r>
        <w:rPr>
          <w:rFonts w:hint="eastAsia" w:ascii="宋体" w:hAnsi="宋体" w:eastAsia="宋体" w:cs="宋体"/>
          <w:color w:val="auto"/>
          <w:sz w:val="24"/>
          <w:szCs w:val="20"/>
          <w:highlight w:val="none"/>
        </w:rPr>
        <w:t>资格要求</w:t>
      </w:r>
      <w:r>
        <w:rPr>
          <w:rFonts w:hint="eastAsia" w:ascii="宋体" w:hAnsi="宋体" w:cs="宋体"/>
          <w:color w:val="auto"/>
          <w:sz w:val="24"/>
          <w:szCs w:val="20"/>
          <w:highlight w:val="none"/>
          <w:lang w:eastAsia="zh-CN"/>
        </w:rPr>
        <w:t>（如有）</w:t>
      </w:r>
    </w:p>
    <w:p w14:paraId="3B90228B">
      <w:pPr>
        <w:widowControl/>
        <w:jc w:val="left"/>
        <w:rPr>
          <w:rFonts w:hint="eastAsia" w:ascii="宋体" w:hAnsi="宋体" w:eastAsia="宋体" w:cs="宋体"/>
          <w:color w:val="auto"/>
          <w:sz w:val="24"/>
          <w:szCs w:val="20"/>
          <w:highlight w:val="none"/>
        </w:rPr>
      </w:pPr>
    </w:p>
    <w:p w14:paraId="7FFC7D95">
      <w:pPr>
        <w:widowControl/>
        <w:jc w:val="left"/>
        <w:rPr>
          <w:rFonts w:hint="eastAsia" w:ascii="宋体" w:hAnsi="宋体" w:eastAsia="宋体" w:cs="宋体"/>
          <w:b/>
          <w:bCs/>
          <w:color w:val="auto"/>
          <w:sz w:val="24"/>
          <w:szCs w:val="20"/>
          <w:highlight w:val="none"/>
        </w:rPr>
      </w:pPr>
      <w:r>
        <w:rPr>
          <w:rFonts w:hint="eastAsia" w:ascii="宋体" w:hAnsi="宋体" w:eastAsia="宋体" w:cs="宋体"/>
          <w:color w:val="auto"/>
          <w:sz w:val="24"/>
          <w:szCs w:val="20"/>
          <w:highlight w:val="none"/>
        </w:rPr>
        <w:t>3-2其他特定资格要求：</w:t>
      </w:r>
      <w:r>
        <w:rPr>
          <w:rFonts w:hint="eastAsia" w:ascii="宋体" w:hAnsi="宋体" w:cs="宋体"/>
          <w:color w:val="auto"/>
          <w:sz w:val="24"/>
          <w:szCs w:val="20"/>
          <w:highlight w:val="none"/>
          <w:lang w:eastAsia="zh-CN"/>
        </w:rPr>
        <w:t>无。</w:t>
      </w:r>
      <w:r>
        <w:rPr>
          <w:rFonts w:hint="eastAsia" w:ascii="宋体" w:hAnsi="宋体" w:eastAsia="宋体" w:cs="宋体"/>
          <w:b w:val="0"/>
          <w:bCs/>
          <w:color w:val="auto"/>
          <w:sz w:val="24"/>
          <w:highlight w:val="none"/>
        </w:rPr>
        <w:br w:type="page" w:clear="all"/>
      </w:r>
      <w:bookmarkStart w:id="678" w:name="_Ref467988705"/>
      <w:bookmarkStart w:id="679" w:name="_Toc305158899"/>
      <w:bookmarkStart w:id="680" w:name="_Toc305158825"/>
      <w:bookmarkStart w:id="681" w:name="_Toc195842922"/>
      <w:bookmarkStart w:id="682" w:name="_Toc150480795"/>
      <w:bookmarkStart w:id="683" w:name="_Toc127151557"/>
      <w:bookmarkStart w:id="684" w:name="_Toc520356218"/>
      <w:bookmarkStart w:id="685" w:name="_Toc142311059"/>
      <w:bookmarkStart w:id="686" w:name="_Toc226965747"/>
      <w:bookmarkStart w:id="687" w:name="_Toc264969247"/>
      <w:bookmarkStart w:id="688" w:name="_Toc150774762"/>
      <w:bookmarkStart w:id="689" w:name="_Toc226337253"/>
      <w:bookmarkStart w:id="690" w:name="_Toc226309801"/>
      <w:bookmarkStart w:id="691" w:name="_Toc480942350"/>
      <w:bookmarkStart w:id="692" w:name="_Toc226965830"/>
      <w:bookmarkStart w:id="693" w:name="_Toc265228395"/>
      <w:r>
        <w:rPr>
          <w:rFonts w:hint="eastAsia" w:ascii="宋体" w:hAnsi="宋体" w:eastAsia="宋体" w:cs="宋体"/>
          <w:b/>
          <w:bCs/>
          <w:color w:val="auto"/>
          <w:sz w:val="24"/>
          <w:highlight w:val="none"/>
        </w:rPr>
        <w:t>4响应函</w:t>
      </w:r>
      <w:r>
        <w:rPr>
          <w:rFonts w:hint="eastAsia" w:ascii="宋体" w:hAnsi="宋体" w:eastAsia="宋体" w:cs="宋体"/>
          <w:b/>
          <w:bCs/>
          <w:color w:val="auto"/>
          <w:sz w:val="24"/>
          <w:szCs w:val="20"/>
          <w:highlight w:val="none"/>
        </w:rPr>
        <w:t>（实质性格式）</w:t>
      </w:r>
    </w:p>
    <w:p w14:paraId="0193281D">
      <w:pPr>
        <w:tabs>
          <w:tab w:val="left" w:pos="5580"/>
        </w:tabs>
        <w:spacing w:line="360" w:lineRule="auto"/>
        <w:rPr>
          <w:color w:val="auto"/>
          <w:sz w:val="24"/>
          <w:highlight w:val="none"/>
        </w:rPr>
      </w:pPr>
    </w:p>
    <w:p w14:paraId="03730633">
      <w:pPr>
        <w:spacing w:line="360" w:lineRule="auto"/>
        <w:jc w:val="center"/>
        <w:rPr>
          <w:b/>
          <w:color w:val="auto"/>
          <w:sz w:val="36"/>
          <w:szCs w:val="36"/>
          <w:highlight w:val="none"/>
        </w:rPr>
      </w:pPr>
      <w:r>
        <w:rPr>
          <w:rFonts w:hint="eastAsia"/>
          <w:b/>
          <w:color w:val="auto"/>
          <w:sz w:val="36"/>
          <w:szCs w:val="36"/>
          <w:highlight w:val="none"/>
        </w:rPr>
        <w:t>响应函</w:t>
      </w:r>
    </w:p>
    <w:p w14:paraId="7D3FF877">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43838E49">
      <w:pPr>
        <w:tabs>
          <w:tab w:val="left" w:pos="5580"/>
        </w:tabs>
        <w:spacing w:line="360" w:lineRule="auto"/>
        <w:rPr>
          <w:color w:val="auto"/>
          <w:sz w:val="24"/>
          <w:szCs w:val="20"/>
          <w:highlight w:val="none"/>
        </w:rPr>
      </w:pPr>
    </w:p>
    <w:p w14:paraId="33634F00">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w:t>
      </w:r>
      <w:r>
        <w:rPr>
          <w:rFonts w:hint="eastAsia"/>
          <w:color w:val="auto"/>
          <w:sz w:val="24"/>
          <w:szCs w:val="20"/>
          <w:highlight w:val="none"/>
        </w:rPr>
        <w:t>政府采购</w:t>
      </w:r>
      <w:r>
        <w:rPr>
          <w:color w:val="auto"/>
          <w:sz w:val="24"/>
          <w:szCs w:val="20"/>
          <w:highlight w:val="none"/>
        </w:rPr>
        <w:t>活动，并对此项目进行响应。</w:t>
      </w:r>
    </w:p>
    <w:p w14:paraId="3A48A978">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已详细审查全部磋商文件</w:t>
      </w:r>
      <w:r>
        <w:rPr>
          <w:color w:val="auto"/>
          <w:sz w:val="24"/>
          <w:szCs w:val="20"/>
          <w:highlight w:val="none"/>
        </w:rPr>
        <w:t>，自愿参与响应并承诺如下：</w:t>
      </w:r>
    </w:p>
    <w:p w14:paraId="51FA12F1">
      <w:pPr>
        <w:tabs>
          <w:tab w:val="left" w:pos="720"/>
          <w:tab w:val="left" w:pos="900"/>
        </w:tabs>
        <w:spacing w:line="360" w:lineRule="auto"/>
        <w:ind w:left="360" w:firstLine="72"/>
        <w:rPr>
          <w:color w:val="auto"/>
          <w:sz w:val="24"/>
          <w:szCs w:val="20"/>
          <w:highlight w:val="none"/>
        </w:rPr>
      </w:pPr>
      <w:r>
        <w:rPr>
          <w:color w:val="auto"/>
          <w:sz w:val="24"/>
          <w:szCs w:val="20"/>
          <w:highlight w:val="none"/>
        </w:rPr>
        <w:t>（1）本响应有效期为自提交响应文件的截止之日起</w:t>
      </w:r>
      <w:r>
        <w:rPr>
          <w:rFonts w:hint="eastAsia"/>
          <w:color w:val="auto"/>
          <w:sz w:val="24"/>
          <w:highlight w:val="none"/>
        </w:rPr>
        <w:t>60</w:t>
      </w:r>
      <w:r>
        <w:rPr>
          <w:color w:val="auto"/>
          <w:sz w:val="24"/>
          <w:szCs w:val="20"/>
          <w:highlight w:val="none"/>
        </w:rPr>
        <w:t>个日历日。</w:t>
      </w:r>
    </w:p>
    <w:p w14:paraId="5FBB2FC8">
      <w:pPr>
        <w:tabs>
          <w:tab w:val="left" w:pos="720"/>
          <w:tab w:val="left" w:pos="900"/>
        </w:tabs>
        <w:spacing w:line="360" w:lineRule="auto"/>
        <w:ind w:left="360" w:firstLine="72"/>
        <w:rPr>
          <w:color w:val="auto"/>
          <w:sz w:val="24"/>
          <w:szCs w:val="20"/>
          <w:highlight w:val="none"/>
        </w:rPr>
      </w:pPr>
      <w:r>
        <w:rPr>
          <w:color w:val="auto"/>
          <w:sz w:val="24"/>
          <w:szCs w:val="20"/>
          <w:highlight w:val="none"/>
        </w:rPr>
        <w:t>（2）除合同条款及采购需求偏离表列出的偏离外，我方响应磋商文件的全部要求。</w:t>
      </w:r>
    </w:p>
    <w:p w14:paraId="5018ACF0">
      <w:pPr>
        <w:tabs>
          <w:tab w:val="left" w:pos="5580"/>
        </w:tabs>
        <w:spacing w:line="360" w:lineRule="auto"/>
        <w:ind w:firstLine="420"/>
        <w:rPr>
          <w:color w:val="auto"/>
          <w:sz w:val="24"/>
          <w:szCs w:val="20"/>
          <w:highlight w:val="none"/>
        </w:rPr>
      </w:pPr>
      <w:r>
        <w:rPr>
          <w:color w:val="auto"/>
          <w:sz w:val="24"/>
          <w:szCs w:val="20"/>
          <w:highlight w:val="none"/>
        </w:rPr>
        <w:t>（3）我方已提供的全部文件资料是真实、准确的，并对此承担一切法律后果。</w:t>
      </w:r>
    </w:p>
    <w:p w14:paraId="2521F6A1">
      <w:pPr>
        <w:tabs>
          <w:tab w:val="left" w:pos="5580"/>
        </w:tabs>
        <w:spacing w:line="360" w:lineRule="auto"/>
        <w:ind w:firstLine="420"/>
        <w:rPr>
          <w:color w:val="auto"/>
          <w:sz w:val="24"/>
          <w:highlight w:val="none"/>
        </w:rPr>
      </w:pPr>
      <w:r>
        <w:rPr>
          <w:color w:val="auto"/>
          <w:sz w:val="24"/>
          <w:szCs w:val="20"/>
          <w:highlight w:val="none"/>
        </w:rPr>
        <w:t>（4）如我方中标，我方将在法律规定的期限内与你方签订合同，按照磋商文件要求提交履约保证金，并在合同约定的期限内完成合同规定的全部义务。</w:t>
      </w:r>
    </w:p>
    <w:p w14:paraId="5BFE86FD">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365E6457">
      <w:pPr>
        <w:spacing w:line="360" w:lineRule="auto"/>
        <w:ind w:firstLine="480"/>
        <w:rPr>
          <w:color w:val="auto"/>
          <w:sz w:val="24"/>
          <w:highlight w:val="none"/>
        </w:rPr>
      </w:pPr>
      <w:r>
        <w:rPr>
          <w:color w:val="auto"/>
          <w:sz w:val="24"/>
          <w:highlight w:val="none"/>
        </w:rPr>
        <w:t>与本响应有关的一切正式往来信函请寄：</w:t>
      </w:r>
    </w:p>
    <w:p w14:paraId="06B6BAF8">
      <w:pPr>
        <w:tabs>
          <w:tab w:val="left" w:pos="5580"/>
        </w:tabs>
        <w:spacing w:line="360" w:lineRule="auto"/>
        <w:ind w:left="420"/>
        <w:rPr>
          <w:color w:val="auto"/>
          <w:sz w:val="24"/>
          <w:szCs w:val="20"/>
          <w:highlight w:val="none"/>
        </w:rPr>
      </w:pPr>
    </w:p>
    <w:p w14:paraId="43E3B8ED">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60BD1520">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22C02583">
      <w:pPr>
        <w:tabs>
          <w:tab w:val="left" w:pos="5580"/>
        </w:tabs>
        <w:spacing w:line="360" w:lineRule="auto"/>
        <w:ind w:left="420"/>
        <w:rPr>
          <w:color w:val="auto"/>
          <w:sz w:val="24"/>
          <w:szCs w:val="20"/>
          <w:highlight w:val="none"/>
        </w:rPr>
      </w:pPr>
    </w:p>
    <w:p w14:paraId="7A31A4D2">
      <w:pPr>
        <w:tabs>
          <w:tab w:val="left" w:pos="5580"/>
        </w:tabs>
        <w:spacing w:line="360" w:lineRule="auto"/>
        <w:ind w:left="420"/>
        <w:rPr>
          <w:color w:val="auto"/>
          <w:sz w:val="24"/>
          <w:szCs w:val="20"/>
          <w:highlight w:val="none"/>
        </w:rPr>
      </w:pPr>
      <w:r>
        <w:rPr>
          <w:color w:val="auto"/>
          <w:sz w:val="24"/>
          <w:szCs w:val="20"/>
          <w:highlight w:val="none"/>
        </w:rPr>
        <w:t>供应商名称（加盖公章）</w:t>
      </w:r>
      <w:r>
        <w:rPr>
          <w:rFonts w:hint="eastAsia"/>
          <w:color w:val="auto"/>
          <w:sz w:val="24"/>
          <w:szCs w:val="20"/>
          <w:highlight w:val="none"/>
        </w:rPr>
        <w:t>：</w:t>
      </w:r>
      <w:r>
        <w:rPr>
          <w:color w:val="auto"/>
          <w:sz w:val="24"/>
          <w:szCs w:val="20"/>
          <w:highlight w:val="none"/>
        </w:rPr>
        <w:t>___________</w:t>
      </w:r>
    </w:p>
    <w:p w14:paraId="756A4D9A">
      <w:pPr>
        <w:tabs>
          <w:tab w:val="left" w:pos="5580"/>
        </w:tabs>
        <w:spacing w:line="360" w:lineRule="auto"/>
        <w:ind w:left="420"/>
        <w:rPr>
          <w:color w:val="auto"/>
          <w:sz w:val="24"/>
          <w:szCs w:val="20"/>
          <w:highlight w:val="none"/>
        </w:rPr>
      </w:pPr>
      <w:r>
        <w:rPr>
          <w:color w:val="auto"/>
          <w:sz w:val="24"/>
          <w:szCs w:val="20"/>
          <w:highlight w:val="none"/>
        </w:rPr>
        <w:t xml:space="preserve">日期：______年______月______日    </w:t>
      </w:r>
    </w:p>
    <w:p w14:paraId="56181A5A">
      <w:pPr>
        <w:tabs>
          <w:tab w:val="left" w:pos="5580"/>
        </w:tabs>
        <w:spacing w:line="360" w:lineRule="auto"/>
        <w:ind w:left="420"/>
        <w:rPr>
          <w:color w:val="auto"/>
          <w:sz w:val="24"/>
          <w:szCs w:val="20"/>
          <w:highlight w:val="none"/>
          <w:u w:val="single"/>
        </w:rPr>
      </w:pPr>
    </w:p>
    <w:p w14:paraId="2B3FC0CC">
      <w:pPr>
        <w:widowControl/>
        <w:jc w:val="left"/>
        <w:rPr>
          <w:rFonts w:hint="eastAsia" w:ascii="宋体" w:hAnsi="宋体" w:eastAsia="宋体" w:cs="宋体"/>
          <w:b/>
          <w:bCs/>
          <w:color w:val="auto"/>
          <w:sz w:val="24"/>
          <w:highlight w:val="none"/>
        </w:rPr>
      </w:pPr>
      <w:bookmarkStart w:id="694" w:name="_Hlt520355938"/>
      <w:bookmarkEnd w:id="694"/>
      <w:bookmarkStart w:id="695" w:name="_Hlt520356243"/>
      <w:bookmarkEnd w:id="695"/>
      <w:r>
        <w:rPr>
          <w:color w:val="auto"/>
          <w:sz w:val="24"/>
          <w:highlight w:val="none"/>
        </w:rPr>
        <w:br w:type="page" w:clear="all"/>
      </w:r>
      <w:r>
        <w:rPr>
          <w:rFonts w:hint="eastAsia" w:ascii="宋体" w:hAnsi="宋体" w:eastAsia="宋体" w:cs="宋体"/>
          <w:b/>
          <w:bCs/>
          <w:color w:val="auto"/>
          <w:sz w:val="24"/>
          <w:highlight w:val="none"/>
        </w:rPr>
        <w:t>5法定代表人资格证明书</w:t>
      </w:r>
      <w:r>
        <w:rPr>
          <w:rFonts w:hint="eastAsia" w:ascii="宋体" w:hAnsi="宋体" w:eastAsia="宋体" w:cs="宋体"/>
          <w:b/>
          <w:bCs/>
          <w:color w:val="auto"/>
          <w:sz w:val="24"/>
          <w:szCs w:val="20"/>
          <w:highlight w:val="none"/>
        </w:rPr>
        <w:t>（实质性格式）</w:t>
      </w:r>
    </w:p>
    <w:p w14:paraId="31B5AF32">
      <w:pPr>
        <w:spacing w:line="360" w:lineRule="auto"/>
        <w:jc w:val="center"/>
        <w:rPr>
          <w:rFonts w:ascii="宋体" w:hAnsi="宋体"/>
          <w:b/>
          <w:color w:val="auto"/>
          <w:sz w:val="32"/>
          <w:szCs w:val="32"/>
          <w:highlight w:val="none"/>
        </w:rPr>
      </w:pPr>
    </w:p>
    <w:p w14:paraId="15379478">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7ED61516">
      <w:pPr>
        <w:spacing w:line="560" w:lineRule="exact"/>
        <w:rPr>
          <w:rFonts w:ascii="宋体" w:hAnsi="宋体"/>
          <w:color w:val="auto"/>
          <w:sz w:val="24"/>
          <w:highlight w:val="none"/>
        </w:rPr>
      </w:pPr>
      <w:r>
        <w:rPr>
          <w:rFonts w:hint="eastAsia" w:ascii="宋体" w:hAnsi="宋体"/>
          <w:color w:val="auto"/>
          <w:sz w:val="24"/>
          <w:highlight w:val="none"/>
        </w:rPr>
        <w:t>单位名称:</w:t>
      </w:r>
    </w:p>
    <w:p w14:paraId="7459C5C4">
      <w:pPr>
        <w:spacing w:line="560" w:lineRule="exact"/>
        <w:rPr>
          <w:rFonts w:ascii="宋体" w:hAnsi="宋体"/>
          <w:color w:val="auto"/>
          <w:sz w:val="24"/>
          <w:highlight w:val="none"/>
        </w:rPr>
      </w:pPr>
      <w:r>
        <w:rPr>
          <w:rFonts w:hint="eastAsia" w:ascii="宋体" w:hAnsi="宋体"/>
          <w:color w:val="auto"/>
          <w:sz w:val="24"/>
          <w:highlight w:val="none"/>
        </w:rPr>
        <w:t>地址:</w:t>
      </w:r>
    </w:p>
    <w:p w14:paraId="4B336709">
      <w:pPr>
        <w:spacing w:line="560" w:lineRule="exact"/>
        <w:rPr>
          <w:rFonts w:ascii="宋体" w:hAnsi="宋体"/>
          <w:color w:val="auto"/>
          <w:sz w:val="24"/>
          <w:highlight w:val="none"/>
        </w:rPr>
      </w:pPr>
      <w:r>
        <w:rPr>
          <w:rFonts w:hint="eastAsia" w:ascii="宋体" w:hAnsi="宋体"/>
          <w:color w:val="auto"/>
          <w:sz w:val="24"/>
          <w:highlight w:val="none"/>
        </w:rPr>
        <w:t>姓名:           性别:       年龄:       职务:</w:t>
      </w:r>
    </w:p>
    <w:p w14:paraId="68CFC424">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（供应商名称）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上述项目的响应文件、进行合同磋商、签署合同和处理与之有关的一切事务。</w:t>
      </w:r>
    </w:p>
    <w:p w14:paraId="763F3CF3">
      <w:pPr>
        <w:spacing w:line="560" w:lineRule="exact"/>
        <w:rPr>
          <w:rFonts w:ascii="宋体" w:hAnsi="宋体"/>
          <w:color w:val="auto"/>
          <w:sz w:val="24"/>
          <w:highlight w:val="none"/>
        </w:rPr>
      </w:pPr>
      <w:r>
        <w:rPr>
          <w:rFonts w:hint="eastAsia" w:ascii="宋体" w:hAnsi="宋体"/>
          <w:color w:val="auto"/>
          <w:sz w:val="24"/>
          <w:highlight w:val="none"/>
        </w:rPr>
        <w:t>特此证明。</w:t>
      </w:r>
    </w:p>
    <w:p w14:paraId="43E7AA49">
      <w:pPr>
        <w:spacing w:line="560" w:lineRule="exact"/>
        <w:rPr>
          <w:rFonts w:ascii="宋体" w:hAnsi="宋体"/>
          <w:color w:val="auto"/>
          <w:sz w:val="24"/>
          <w:highlight w:val="none"/>
        </w:rPr>
      </w:pPr>
    </w:p>
    <w:p w14:paraId="6AC2302B">
      <w:pPr>
        <w:pStyle w:val="224"/>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w:t>
      </w:r>
      <w:r>
        <w:rPr>
          <w:color w:val="auto"/>
          <w:spacing w:val="-3"/>
          <w:highlight w:val="none"/>
        </w:rPr>
        <w:t>件</w:t>
      </w:r>
      <w:r>
        <w:rPr>
          <w:rFonts w:hint="eastAsia"/>
          <w:color w:val="auto"/>
          <w:spacing w:val="-3"/>
          <w:highlight w:val="none"/>
        </w:rPr>
        <w:t>。</w:t>
      </w:r>
    </w:p>
    <w:tbl>
      <w:tblPr>
        <w:tblStyle w:val="3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6D97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0738CB53">
            <w:pPr>
              <w:tabs>
                <w:tab w:val="left" w:pos="5580"/>
              </w:tabs>
              <w:spacing w:line="360" w:lineRule="auto"/>
              <w:jc w:val="left"/>
              <w:rPr>
                <w:rFonts w:ascii="宋体" w:hAnsi="宋体"/>
                <w:color w:val="auto"/>
                <w:sz w:val="24"/>
                <w:szCs w:val="20"/>
                <w:highlight w:val="none"/>
              </w:rPr>
            </w:pPr>
          </w:p>
          <w:p w14:paraId="52ACD62B">
            <w:pPr>
              <w:tabs>
                <w:tab w:val="left" w:pos="5580"/>
              </w:tabs>
              <w:spacing w:line="360" w:lineRule="auto"/>
              <w:jc w:val="left"/>
              <w:rPr>
                <w:rFonts w:ascii="宋体" w:hAnsi="宋体"/>
                <w:color w:val="auto"/>
                <w:sz w:val="24"/>
                <w:szCs w:val="20"/>
                <w:highlight w:val="none"/>
              </w:rPr>
            </w:pPr>
          </w:p>
          <w:p w14:paraId="5C8A53E0">
            <w:pPr>
              <w:tabs>
                <w:tab w:val="left" w:pos="5580"/>
              </w:tabs>
              <w:spacing w:line="360" w:lineRule="auto"/>
              <w:jc w:val="left"/>
              <w:rPr>
                <w:rFonts w:ascii="宋体" w:hAnsi="宋体"/>
                <w:color w:val="auto"/>
                <w:sz w:val="24"/>
                <w:szCs w:val="20"/>
                <w:highlight w:val="none"/>
              </w:rPr>
            </w:pPr>
          </w:p>
        </w:tc>
        <w:tc>
          <w:tcPr>
            <w:tcW w:w="4536" w:type="dxa"/>
          </w:tcPr>
          <w:p w14:paraId="29033354">
            <w:pPr>
              <w:tabs>
                <w:tab w:val="left" w:pos="5580"/>
              </w:tabs>
              <w:spacing w:line="360" w:lineRule="auto"/>
              <w:jc w:val="left"/>
              <w:rPr>
                <w:rFonts w:ascii="宋体" w:hAnsi="宋体"/>
                <w:color w:val="auto"/>
                <w:sz w:val="24"/>
                <w:szCs w:val="20"/>
                <w:highlight w:val="none"/>
              </w:rPr>
            </w:pPr>
          </w:p>
          <w:p w14:paraId="298D9E2F">
            <w:pPr>
              <w:tabs>
                <w:tab w:val="left" w:pos="5580"/>
              </w:tabs>
              <w:spacing w:line="360" w:lineRule="auto"/>
              <w:jc w:val="left"/>
              <w:rPr>
                <w:rFonts w:ascii="宋体" w:hAnsi="宋体"/>
                <w:color w:val="auto"/>
                <w:sz w:val="24"/>
                <w:szCs w:val="20"/>
                <w:highlight w:val="none"/>
              </w:rPr>
            </w:pPr>
          </w:p>
          <w:p w14:paraId="6AA0C7CF">
            <w:pPr>
              <w:tabs>
                <w:tab w:val="left" w:pos="5580"/>
              </w:tabs>
              <w:spacing w:line="360" w:lineRule="auto"/>
              <w:jc w:val="left"/>
              <w:rPr>
                <w:rFonts w:ascii="宋体" w:hAnsi="宋体"/>
                <w:color w:val="auto"/>
                <w:sz w:val="24"/>
                <w:szCs w:val="20"/>
                <w:highlight w:val="none"/>
              </w:rPr>
            </w:pPr>
          </w:p>
        </w:tc>
      </w:tr>
    </w:tbl>
    <w:p w14:paraId="62798F69">
      <w:pPr>
        <w:spacing w:line="560" w:lineRule="exact"/>
        <w:rPr>
          <w:rFonts w:ascii="宋体" w:hAnsi="宋体"/>
          <w:color w:val="auto"/>
          <w:sz w:val="24"/>
          <w:highlight w:val="none"/>
        </w:rPr>
      </w:pPr>
      <w:r>
        <w:rPr>
          <w:rFonts w:hint="eastAsia" w:ascii="宋体" w:hAnsi="宋体"/>
          <w:color w:val="auto"/>
          <w:sz w:val="24"/>
          <w:highlight w:val="none"/>
        </w:rPr>
        <w:t>                     供应商：（加盖公章）</w:t>
      </w:r>
    </w:p>
    <w:p w14:paraId="18C3813E">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7B1B6B5C">
      <w:pPr>
        <w:spacing w:line="560" w:lineRule="exact"/>
        <w:ind w:firstLine="4320"/>
        <w:rPr>
          <w:rFonts w:ascii="宋体" w:hAnsi="宋体"/>
          <w:color w:val="auto"/>
          <w:sz w:val="24"/>
          <w:highlight w:val="none"/>
        </w:rPr>
      </w:pPr>
      <w:r>
        <w:rPr>
          <w:rFonts w:hint="eastAsia" w:ascii="宋体" w:hAnsi="宋体"/>
          <w:color w:val="auto"/>
          <w:sz w:val="24"/>
          <w:highlight w:val="none"/>
        </w:rPr>
        <w:t>日期：     年  月  日</w:t>
      </w:r>
    </w:p>
    <w:p w14:paraId="326A501A">
      <w:pPr>
        <w:widowControl/>
        <w:jc w:val="left"/>
        <w:rPr>
          <w:color w:val="auto"/>
          <w:sz w:val="24"/>
          <w:highlight w:val="none"/>
        </w:rPr>
      </w:pPr>
    </w:p>
    <w:p w14:paraId="1D90ACA4">
      <w:pPr>
        <w:widowControl/>
        <w:jc w:val="left"/>
        <w:rPr>
          <w:color w:val="auto"/>
          <w:sz w:val="24"/>
          <w:highlight w:val="none"/>
        </w:rPr>
      </w:pPr>
    </w:p>
    <w:p w14:paraId="03C8F4B1">
      <w:pPr>
        <w:widowControl/>
        <w:jc w:val="left"/>
        <w:rPr>
          <w:color w:val="auto"/>
          <w:sz w:val="24"/>
          <w:highlight w:val="none"/>
        </w:rPr>
      </w:pPr>
    </w:p>
    <w:p w14:paraId="2465A896">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说明</w:t>
      </w:r>
      <w:r>
        <w:rPr>
          <w:rFonts w:ascii="宋体" w:hAnsi="宋体"/>
          <w:color w:val="auto"/>
          <w:sz w:val="24"/>
          <w:szCs w:val="20"/>
          <w:highlight w:val="none"/>
        </w:rPr>
        <w:t>：</w:t>
      </w:r>
    </w:p>
    <w:p w14:paraId="3C7E89F9">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1.若供应商为事业单位或其他组织或分支机构（仅当</w:t>
      </w:r>
      <w:r>
        <w:rPr>
          <w:rFonts w:hint="eastAsia" w:ascii="宋体" w:hAnsi="宋体"/>
          <w:color w:val="auto"/>
          <w:sz w:val="24"/>
          <w:szCs w:val="20"/>
          <w:highlight w:val="none"/>
        </w:rPr>
        <w:t>磋商文件</w:t>
      </w:r>
      <w:r>
        <w:rPr>
          <w:rFonts w:ascii="宋体" w:hAnsi="宋体"/>
          <w:color w:val="auto"/>
          <w:sz w:val="24"/>
          <w:szCs w:val="20"/>
          <w:highlight w:val="none"/>
        </w:rPr>
        <w:t>注明允许分支机构</w:t>
      </w:r>
      <w:r>
        <w:rPr>
          <w:rFonts w:hint="eastAsia" w:ascii="宋体" w:hAnsi="宋体"/>
          <w:color w:val="auto"/>
          <w:sz w:val="24"/>
          <w:szCs w:val="20"/>
          <w:highlight w:val="none"/>
        </w:rPr>
        <w:t>响应</w:t>
      </w:r>
      <w:r>
        <w:rPr>
          <w:rFonts w:ascii="宋体" w:hAnsi="宋体"/>
          <w:color w:val="auto"/>
          <w:sz w:val="24"/>
          <w:szCs w:val="20"/>
          <w:highlight w:val="none"/>
        </w:rPr>
        <w:t>的），则法定代表人（单位负责人）</w:t>
      </w:r>
      <w:r>
        <w:rPr>
          <w:rFonts w:hint="eastAsia" w:ascii="宋体" w:hAnsi="宋体"/>
          <w:color w:val="auto"/>
          <w:sz w:val="24"/>
          <w:szCs w:val="20"/>
          <w:highlight w:val="none"/>
        </w:rPr>
        <w:t>处</w:t>
      </w:r>
      <w:r>
        <w:rPr>
          <w:rFonts w:ascii="宋体" w:hAnsi="宋体"/>
          <w:color w:val="auto"/>
          <w:sz w:val="24"/>
          <w:szCs w:val="20"/>
          <w:highlight w:val="none"/>
        </w:rPr>
        <w:t>的签署人可为单位负责人</w:t>
      </w:r>
      <w:r>
        <w:rPr>
          <w:rFonts w:hint="eastAsia" w:ascii="宋体" w:hAnsi="宋体"/>
          <w:color w:val="auto"/>
          <w:sz w:val="24"/>
          <w:szCs w:val="20"/>
          <w:highlight w:val="none"/>
        </w:rPr>
        <w:t>。</w:t>
      </w:r>
    </w:p>
    <w:p w14:paraId="5A873DE0">
      <w:pPr>
        <w:tabs>
          <w:tab w:val="left" w:pos="5580"/>
        </w:tabs>
        <w:spacing w:line="360" w:lineRule="auto"/>
        <w:jc w:val="left"/>
        <w:rPr>
          <w:rFonts w:ascii="宋体" w:hAnsi="宋体"/>
          <w:i/>
          <w:color w:val="auto"/>
          <w:sz w:val="24"/>
          <w:szCs w:val="20"/>
          <w:highlight w:val="none"/>
          <w:u w:val="single"/>
        </w:rPr>
      </w:pPr>
      <w:r>
        <w:rPr>
          <w:rFonts w:ascii="宋体" w:hAnsi="宋体"/>
          <w:color w:val="auto"/>
          <w:sz w:val="24"/>
          <w:szCs w:val="20"/>
          <w:highlight w:val="none"/>
        </w:rPr>
        <w:t>3.</w:t>
      </w:r>
      <w:r>
        <w:rPr>
          <w:rFonts w:hint="eastAsia" w:ascii="宋体" w:hAnsi="宋体"/>
          <w:color w:val="auto"/>
          <w:sz w:val="24"/>
          <w:szCs w:val="20"/>
          <w:highlight w:val="none"/>
        </w:rPr>
        <w:t>供应商为自然人的情形，可不提供本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5469E5F1">
      <w:pPr>
        <w:widowControl/>
        <w:jc w:val="left"/>
        <w:rPr>
          <w:color w:val="auto"/>
          <w:sz w:val="24"/>
          <w:highlight w:val="none"/>
        </w:rPr>
      </w:pPr>
    </w:p>
    <w:p w14:paraId="3F71E3FA">
      <w:pPr>
        <w:widowControl/>
        <w:jc w:val="left"/>
        <w:rPr>
          <w:color w:val="auto"/>
          <w:sz w:val="24"/>
          <w:highlight w:val="none"/>
        </w:rPr>
      </w:pPr>
    </w:p>
    <w:p w14:paraId="6788CFB2">
      <w:pPr>
        <w:widowControl/>
        <w:jc w:val="left"/>
        <w:rPr>
          <w:color w:val="auto"/>
          <w:sz w:val="24"/>
          <w:highlight w:val="none"/>
        </w:rPr>
      </w:pPr>
    </w:p>
    <w:p w14:paraId="160A4E19">
      <w:pPr>
        <w:widowControl/>
        <w:jc w:val="left"/>
        <w:rPr>
          <w:rFonts w:hint="eastAsia"/>
          <w:color w:val="auto"/>
          <w:sz w:val="24"/>
          <w:highlight w:val="none"/>
        </w:rPr>
      </w:pPr>
    </w:p>
    <w:p w14:paraId="77C5EDC3">
      <w:pPr>
        <w:widowControl/>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6 法人授权委托书（实质性格式）</w:t>
      </w:r>
    </w:p>
    <w:p w14:paraId="43B1240D">
      <w:pPr>
        <w:spacing w:line="312" w:lineRule="auto"/>
        <w:jc w:val="center"/>
        <w:rPr>
          <w:rFonts w:hint="eastAsia" w:ascii="宋体" w:hAnsi="宋体" w:cs="宋体"/>
          <w:b/>
          <w:color w:val="auto"/>
          <w:sz w:val="24"/>
          <w:highlight w:val="none"/>
        </w:rPr>
      </w:pPr>
      <w:bookmarkStart w:id="696" w:name="_Toc1214"/>
      <w:bookmarkStart w:id="697" w:name="_Toc19862"/>
      <w:bookmarkStart w:id="698" w:name="_Toc20050"/>
    </w:p>
    <w:p w14:paraId="1AFD6A08">
      <w:pPr>
        <w:spacing w:line="312" w:lineRule="auto"/>
        <w:jc w:val="center"/>
        <w:rPr>
          <w:rFonts w:hint="eastAsia" w:ascii="宋体" w:hAnsi="宋体" w:cs="宋体"/>
          <w:b/>
          <w:color w:val="auto"/>
          <w:sz w:val="24"/>
          <w:highlight w:val="none"/>
        </w:rPr>
      </w:pPr>
      <w:r>
        <w:rPr>
          <w:rFonts w:hint="eastAsia" w:ascii="宋体" w:hAnsi="宋体" w:cs="宋体"/>
          <w:b/>
          <w:color w:val="auto"/>
          <w:sz w:val="24"/>
          <w:highlight w:val="none"/>
        </w:rPr>
        <w:t>法人授权委托书</w:t>
      </w:r>
      <w:bookmarkEnd w:id="696"/>
      <w:bookmarkEnd w:id="697"/>
      <w:bookmarkEnd w:id="698"/>
    </w:p>
    <w:p w14:paraId="2A6E8AEF">
      <w:pPr>
        <w:pStyle w:val="15"/>
        <w:tabs>
          <w:tab w:val="left" w:pos="567"/>
        </w:tabs>
        <w:rPr>
          <w:rFonts w:hint="eastAsia"/>
          <w:color w:val="auto"/>
          <w:highlight w:val="none"/>
        </w:rPr>
      </w:pPr>
    </w:p>
    <w:p w14:paraId="5C30B111">
      <w:pPr>
        <w:spacing w:line="360" w:lineRule="auto"/>
        <w:ind w:firstLine="720" w:firstLineChars="300"/>
        <w:jc w:val="left"/>
        <w:rPr>
          <w:rFonts w:ascii="宋体" w:hAnsi="宋体"/>
          <w:color w:val="auto"/>
          <w:kern w:val="0"/>
          <w:sz w:val="24"/>
          <w:highlight w:val="none"/>
        </w:rPr>
      </w:pPr>
      <w:r>
        <w:rPr>
          <w:rFonts w:hint="eastAsia" w:ascii="宋体" w:hAnsi="宋体"/>
          <w:color w:val="auto"/>
          <w:kern w:val="0"/>
          <w:sz w:val="24"/>
          <w:highlight w:val="none"/>
        </w:rPr>
        <w:t>本授权委托书声明：</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 xml:space="preserve">（供应商名称）的 </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 xml:space="preserve"> （法定代表人姓名、职务）代表供应商授权 </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（被授权人的姓名、职务）为</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项目的合法代理人，全权负责参加本次政府采购项目的投标、签订合约以及与之相关的各项工作。本供应商对代理人的所有签名负全部责任。</w:t>
      </w:r>
    </w:p>
    <w:p w14:paraId="62FD9803">
      <w:pPr>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 xml:space="preserve">本授权书于 </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年</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月</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日签字生效，特此声明。</w:t>
      </w:r>
    </w:p>
    <w:p w14:paraId="700E5DAD">
      <w:pPr>
        <w:pStyle w:val="15"/>
        <w:tabs>
          <w:tab w:val="left" w:pos="567"/>
        </w:tabs>
        <w:rPr>
          <w:rFonts w:hint="eastAsia"/>
          <w:color w:val="auto"/>
          <w:highlight w:val="none"/>
        </w:rPr>
      </w:pPr>
    </w:p>
    <w:p w14:paraId="08920735">
      <w:pPr>
        <w:spacing w:line="360" w:lineRule="auto"/>
        <w:jc w:val="left"/>
        <w:rPr>
          <w:rFonts w:hint="eastAsia" w:ascii="宋体" w:hAnsi="宋体"/>
          <w:color w:val="auto"/>
          <w:kern w:val="0"/>
          <w:sz w:val="24"/>
          <w:highlight w:val="none"/>
        </w:rPr>
      </w:pPr>
      <w:r>
        <w:rPr>
          <w:rFonts w:hint="eastAsia" w:ascii="宋体" w:hAnsi="宋体"/>
          <w:color w:val="auto"/>
          <w:kern w:val="0"/>
          <w:sz w:val="24"/>
          <w:highlight w:val="none"/>
        </w:rPr>
        <w:t>法定代表人签字或盖章：</w:t>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日期：</w:t>
      </w:r>
    </w:p>
    <w:p w14:paraId="5D61EE8C">
      <w:pPr>
        <w:spacing w:line="360" w:lineRule="auto"/>
        <w:jc w:val="left"/>
        <w:rPr>
          <w:rFonts w:hint="eastAsia" w:ascii="宋体" w:hAnsi="宋体"/>
          <w:color w:val="auto"/>
          <w:kern w:val="0"/>
          <w:sz w:val="24"/>
          <w:highlight w:val="none"/>
        </w:rPr>
      </w:pPr>
      <w:r>
        <w:rPr>
          <w:rFonts w:hint="eastAsia" w:ascii="宋体" w:hAnsi="宋体"/>
          <w:color w:val="auto"/>
          <w:kern w:val="0"/>
          <w:sz w:val="24"/>
          <w:highlight w:val="none"/>
        </w:rPr>
        <w:t>职务：</w:t>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 xml:space="preserve">    联系电话：</w:t>
      </w:r>
    </w:p>
    <w:p w14:paraId="0F5A3D64">
      <w:pPr>
        <w:spacing w:line="360" w:lineRule="auto"/>
        <w:jc w:val="left"/>
        <w:rPr>
          <w:rFonts w:hint="eastAsia" w:ascii="宋体" w:hAnsi="宋体"/>
          <w:color w:val="auto"/>
          <w:kern w:val="0"/>
          <w:sz w:val="24"/>
          <w:highlight w:val="none"/>
        </w:rPr>
      </w:pPr>
      <w:r>
        <w:rPr>
          <w:rFonts w:hint="eastAsia" w:ascii="宋体" w:hAnsi="宋体"/>
          <w:color w:val="auto"/>
          <w:kern w:val="0"/>
          <w:sz w:val="24"/>
          <w:highlight w:val="none"/>
        </w:rPr>
        <w:t>单位名称：</w:t>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 xml:space="preserve">    地址：</w:t>
      </w:r>
    </w:p>
    <w:p w14:paraId="133AA0C4">
      <w:pPr>
        <w:spacing w:line="360" w:lineRule="auto"/>
        <w:jc w:val="left"/>
        <w:rPr>
          <w:rFonts w:hint="eastAsia" w:ascii="宋体" w:hAnsi="宋体"/>
          <w:color w:val="auto"/>
          <w:kern w:val="0"/>
          <w:sz w:val="24"/>
          <w:highlight w:val="none"/>
        </w:rPr>
      </w:pPr>
      <w:r>
        <w:rPr>
          <w:rFonts w:hint="eastAsia" w:ascii="宋体" w:hAnsi="宋体"/>
          <w:color w:val="auto"/>
          <w:kern w:val="0"/>
          <w:sz w:val="24"/>
          <w:highlight w:val="none"/>
        </w:rPr>
        <w:t>身份证号码：</w:t>
      </w:r>
    </w:p>
    <w:p w14:paraId="1B52F315">
      <w:pPr>
        <w:spacing w:line="360" w:lineRule="auto"/>
        <w:jc w:val="left"/>
        <w:rPr>
          <w:rFonts w:hint="eastAsia" w:ascii="宋体" w:hAnsi="宋体"/>
          <w:color w:val="auto"/>
          <w:kern w:val="0"/>
          <w:sz w:val="24"/>
          <w:highlight w:val="none"/>
        </w:rPr>
      </w:pPr>
    </w:p>
    <w:p w14:paraId="77CEFBE7">
      <w:pPr>
        <w:spacing w:line="360" w:lineRule="auto"/>
        <w:jc w:val="left"/>
        <w:rPr>
          <w:rFonts w:hint="eastAsia" w:ascii="宋体" w:hAnsi="宋体"/>
          <w:color w:val="auto"/>
          <w:kern w:val="0"/>
          <w:sz w:val="24"/>
          <w:highlight w:val="none"/>
        </w:rPr>
      </w:pPr>
      <w:r>
        <w:rPr>
          <w:rFonts w:hint="eastAsia" w:ascii="宋体" w:hAnsi="宋体"/>
          <w:color w:val="auto"/>
          <w:kern w:val="0"/>
          <w:sz w:val="24"/>
          <w:highlight w:val="none"/>
        </w:rPr>
        <w:t>委托代理人签字或盖章：</w:t>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日期：</w:t>
      </w:r>
    </w:p>
    <w:p w14:paraId="6494EEB2">
      <w:pPr>
        <w:spacing w:line="360" w:lineRule="auto"/>
        <w:jc w:val="left"/>
        <w:rPr>
          <w:rFonts w:hint="eastAsia" w:ascii="宋体" w:hAnsi="宋体"/>
          <w:color w:val="auto"/>
          <w:kern w:val="0"/>
          <w:sz w:val="24"/>
          <w:highlight w:val="none"/>
        </w:rPr>
      </w:pPr>
      <w:r>
        <w:rPr>
          <w:rFonts w:hint="eastAsia" w:ascii="宋体" w:hAnsi="宋体"/>
          <w:color w:val="auto"/>
          <w:kern w:val="0"/>
          <w:sz w:val="24"/>
          <w:highlight w:val="none"/>
        </w:rPr>
        <w:t>职务：</w:t>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 xml:space="preserve">    联系电话：</w:t>
      </w:r>
    </w:p>
    <w:p w14:paraId="729F42E6">
      <w:pPr>
        <w:spacing w:line="360" w:lineRule="auto"/>
        <w:jc w:val="left"/>
        <w:rPr>
          <w:rFonts w:hint="eastAsia" w:ascii="宋体" w:hAnsi="宋体"/>
          <w:color w:val="auto"/>
          <w:kern w:val="0"/>
          <w:sz w:val="24"/>
          <w:highlight w:val="none"/>
        </w:rPr>
      </w:pPr>
      <w:r>
        <w:rPr>
          <w:rFonts w:hint="eastAsia" w:ascii="宋体" w:hAnsi="宋体"/>
          <w:color w:val="auto"/>
          <w:kern w:val="0"/>
          <w:sz w:val="24"/>
          <w:highlight w:val="none"/>
        </w:rPr>
        <w:t>单位名称：</w:t>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 xml:space="preserve">    地址：</w:t>
      </w:r>
    </w:p>
    <w:p w14:paraId="6499C8B6">
      <w:pPr>
        <w:spacing w:line="360" w:lineRule="auto"/>
        <w:jc w:val="left"/>
        <w:rPr>
          <w:rFonts w:hint="eastAsia" w:ascii="宋体" w:hAnsi="宋体"/>
          <w:color w:val="auto"/>
          <w:kern w:val="0"/>
          <w:sz w:val="24"/>
          <w:highlight w:val="none"/>
        </w:rPr>
      </w:pPr>
      <w:r>
        <w:rPr>
          <w:rFonts w:hint="eastAsia" w:ascii="宋体" w:hAnsi="宋体"/>
          <w:color w:val="auto"/>
          <w:kern w:val="0"/>
          <w:sz w:val="24"/>
          <w:highlight w:val="none"/>
        </w:rPr>
        <w:t>身份证号码：</w:t>
      </w:r>
    </w:p>
    <w:p w14:paraId="712E7B5F">
      <w:pPr>
        <w:spacing w:line="360" w:lineRule="auto"/>
        <w:jc w:val="left"/>
        <w:rPr>
          <w:rFonts w:hint="eastAsia" w:ascii="宋体" w:hAnsi="宋体"/>
          <w:color w:val="auto"/>
          <w:kern w:val="0"/>
          <w:sz w:val="24"/>
          <w:highlight w:val="none"/>
        </w:rPr>
      </w:pPr>
    </w:p>
    <w:p w14:paraId="48F63ADB">
      <w:pPr>
        <w:spacing w:line="360" w:lineRule="auto"/>
        <w:jc w:val="left"/>
        <w:rPr>
          <w:rFonts w:hint="eastAsia" w:ascii="宋体" w:hAnsi="宋体"/>
          <w:color w:val="auto"/>
          <w:kern w:val="0"/>
          <w:sz w:val="24"/>
          <w:highlight w:val="none"/>
        </w:rPr>
      </w:pPr>
      <w:r>
        <w:rPr>
          <w:rFonts w:hint="eastAsia" w:ascii="宋体" w:hAnsi="宋体"/>
          <w:color w:val="auto"/>
          <w:kern w:val="0"/>
          <w:sz w:val="24"/>
          <w:highlight w:val="none"/>
        </w:rPr>
        <w:t>供应商公章：</w:t>
      </w:r>
    </w:p>
    <w:p w14:paraId="3E9B8EDA">
      <w:pPr>
        <w:spacing w:line="360" w:lineRule="auto"/>
        <w:jc w:val="left"/>
        <w:rPr>
          <w:rFonts w:hint="eastAsia" w:ascii="宋体" w:hAnsi="宋体"/>
          <w:color w:val="auto"/>
          <w:kern w:val="0"/>
          <w:sz w:val="24"/>
          <w:highlight w:val="none"/>
        </w:rPr>
      </w:pPr>
      <w:r>
        <w:rPr>
          <w:rFonts w:hint="eastAsia" w:ascii="宋体" w:hAnsi="宋体"/>
          <w:color w:val="auto"/>
          <w:kern w:val="0"/>
          <w:sz w:val="24"/>
          <w:highlight w:val="none"/>
        </w:rPr>
        <w:t>地址：</w:t>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 xml:space="preserve">    联系电话：</w:t>
      </w:r>
    </w:p>
    <w:p w14:paraId="1C211D24">
      <w:pPr>
        <w:spacing w:line="360" w:lineRule="auto"/>
        <w:jc w:val="left"/>
        <w:rPr>
          <w:rFonts w:hint="eastAsia" w:ascii="宋体" w:hAnsi="宋体"/>
          <w:color w:val="auto"/>
          <w:kern w:val="0"/>
          <w:sz w:val="24"/>
          <w:highlight w:val="none"/>
        </w:rPr>
      </w:pPr>
      <w:r>
        <w:rPr>
          <w:rFonts w:hint="eastAsia" w:ascii="宋体" w:hAnsi="宋体"/>
          <w:color w:val="auto"/>
          <w:kern w:val="0"/>
          <w:sz w:val="24"/>
          <w:highlight w:val="none"/>
        </w:rPr>
        <w:t>传真：</w:t>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 xml:space="preserve">    邮编：</w:t>
      </w:r>
    </w:p>
    <w:p w14:paraId="4BEFB1E6">
      <w:pPr>
        <w:spacing w:line="360" w:lineRule="auto"/>
        <w:jc w:val="left"/>
        <w:rPr>
          <w:rFonts w:hint="eastAsia" w:ascii="宋体" w:hAnsi="宋体"/>
          <w:color w:val="auto"/>
          <w:kern w:val="0"/>
          <w:sz w:val="24"/>
          <w:highlight w:val="none"/>
        </w:rPr>
      </w:pPr>
      <w:r>
        <w:rPr>
          <w:rFonts w:hint="eastAsia" w:ascii="宋体" w:hAnsi="宋体"/>
          <w:color w:val="auto"/>
          <w:kern w:val="0"/>
          <w:sz w:val="24"/>
          <w:highlight w:val="none"/>
        </w:rPr>
        <w:t>开户行：</w:t>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ab/>
      </w:r>
      <w:r>
        <w:rPr>
          <w:rFonts w:hint="eastAsia" w:ascii="宋体" w:hAnsi="宋体"/>
          <w:color w:val="auto"/>
          <w:kern w:val="0"/>
          <w:sz w:val="24"/>
          <w:highlight w:val="none"/>
        </w:rPr>
        <w:t xml:space="preserve">    账号：</w:t>
      </w:r>
    </w:p>
    <w:p w14:paraId="21491085">
      <w:pPr>
        <w:spacing w:line="360" w:lineRule="auto"/>
        <w:jc w:val="left"/>
        <w:rPr>
          <w:rFonts w:hint="eastAsia" w:ascii="宋体" w:hAnsi="宋体"/>
          <w:color w:val="auto"/>
          <w:kern w:val="0"/>
          <w:sz w:val="24"/>
          <w:highlight w:val="none"/>
        </w:rPr>
      </w:pPr>
    </w:p>
    <w:p w14:paraId="1E5E33A2">
      <w:pPr>
        <w:spacing w:line="360" w:lineRule="auto"/>
        <w:jc w:val="left"/>
        <w:rPr>
          <w:rFonts w:hint="eastAsia" w:ascii="宋体" w:hAnsi="宋体"/>
          <w:color w:val="auto"/>
          <w:kern w:val="0"/>
          <w:sz w:val="24"/>
          <w:highlight w:val="none"/>
        </w:rPr>
      </w:pPr>
      <w:r>
        <w:rPr>
          <w:rFonts w:hint="eastAsia" w:ascii="宋体" w:hAnsi="宋体"/>
          <w:color w:val="auto"/>
          <w:kern w:val="0"/>
          <w:sz w:val="24"/>
          <w:highlight w:val="none"/>
        </w:rPr>
        <w:t>代理人身份证</w:t>
      </w:r>
    </w:p>
    <w:p w14:paraId="5B371FC4">
      <w:pPr>
        <w:spacing w:line="360" w:lineRule="auto"/>
        <w:jc w:val="left"/>
        <w:rPr>
          <w:rFonts w:hint="eastAsia" w:ascii="宋体" w:hAnsi="宋体"/>
          <w:color w:val="auto"/>
          <w:kern w:val="0"/>
          <w:sz w:val="24"/>
          <w:highlight w:val="none"/>
        </w:rPr>
      </w:pPr>
      <w:r>
        <w:rPr>
          <w:rFonts w:hint="eastAsia" w:ascii="宋体" w:hAnsi="宋体"/>
          <w:color w:val="auto"/>
          <w:kern w:val="0"/>
          <w:sz w:val="24"/>
          <w:highlight w:val="none"/>
        </w:rPr>
        <w:t>（双面复印件）粘贴处：</w:t>
      </w:r>
    </w:p>
    <w:p w14:paraId="126C71E6">
      <w:pPr>
        <w:widowControl/>
        <w:jc w:val="left"/>
        <w:rPr>
          <w:color w:val="auto"/>
          <w:sz w:val="24"/>
          <w:highlight w:val="none"/>
        </w:rPr>
      </w:pPr>
    </w:p>
    <w:p w14:paraId="342844F0">
      <w:pPr>
        <w:widowControl/>
        <w:jc w:val="left"/>
        <w:rPr>
          <w:rFonts w:hint="eastAsia" w:ascii="宋体" w:hAnsi="宋体" w:eastAsia="宋体" w:cs="宋体"/>
          <w:b/>
          <w:bCs/>
          <w:color w:val="auto"/>
          <w:sz w:val="24"/>
          <w:highlight w:val="none"/>
        </w:rPr>
      </w:pPr>
    </w:p>
    <w:p w14:paraId="102955A3">
      <w:pPr>
        <w:widowControl/>
        <w:jc w:val="left"/>
        <w:rPr>
          <w:rFonts w:hint="eastAsia" w:ascii="宋体" w:hAnsi="宋体" w:eastAsia="宋体" w:cs="宋体"/>
          <w:b/>
          <w:bCs/>
          <w:color w:val="auto"/>
          <w:sz w:val="24"/>
          <w:highlight w:val="none"/>
        </w:rPr>
      </w:pPr>
    </w:p>
    <w:p w14:paraId="7D53481F">
      <w:pPr>
        <w:widowControl/>
        <w:jc w:val="left"/>
        <w:rPr>
          <w:rFonts w:hint="eastAsia" w:ascii="宋体" w:hAnsi="宋体" w:eastAsia="宋体" w:cs="宋体"/>
          <w:b/>
          <w:bCs/>
          <w:color w:val="auto"/>
          <w:sz w:val="24"/>
          <w:highlight w:val="none"/>
        </w:rPr>
      </w:pPr>
    </w:p>
    <w:p w14:paraId="1FFD397D">
      <w:pPr>
        <w:widowControl/>
        <w:jc w:val="left"/>
        <w:rPr>
          <w:rFonts w:hint="eastAsia" w:ascii="宋体" w:hAnsi="宋体" w:eastAsia="宋体" w:cs="宋体"/>
          <w:b/>
          <w:bCs/>
          <w:color w:val="auto"/>
          <w:sz w:val="24"/>
          <w:highlight w:val="none"/>
        </w:rPr>
      </w:pPr>
    </w:p>
    <w:p w14:paraId="33FB39E9">
      <w:pPr>
        <w:widowControl/>
        <w:jc w:val="left"/>
        <w:rPr>
          <w:rFonts w:hint="eastAsia" w:ascii="宋体" w:hAnsi="宋体" w:eastAsia="宋体" w:cs="宋体"/>
          <w:b/>
          <w:bCs/>
          <w:color w:val="auto"/>
          <w:sz w:val="24"/>
          <w:highlight w:val="none"/>
        </w:rPr>
      </w:pPr>
    </w:p>
    <w:p w14:paraId="4A256D4D">
      <w:pPr>
        <w:widowControl/>
        <w:jc w:val="left"/>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7</w:t>
      </w:r>
      <w:r>
        <w:rPr>
          <w:rFonts w:hint="eastAsia" w:ascii="宋体" w:hAnsi="宋体" w:eastAsia="宋体" w:cs="宋体"/>
          <w:b/>
          <w:bCs/>
          <w:color w:val="auto"/>
          <w:sz w:val="24"/>
          <w:highlight w:val="none"/>
        </w:rPr>
        <w:t xml:space="preserve">  政府采购供应商信用承诺书</w:t>
      </w:r>
      <w:r>
        <w:rPr>
          <w:rFonts w:hint="eastAsia" w:ascii="宋体" w:hAnsi="宋体" w:eastAsia="宋体" w:cs="宋体"/>
          <w:b/>
          <w:bCs/>
          <w:color w:val="auto"/>
          <w:sz w:val="24"/>
          <w:szCs w:val="20"/>
          <w:highlight w:val="none"/>
        </w:rPr>
        <w:t>（实质性格式）</w:t>
      </w:r>
    </w:p>
    <w:p w14:paraId="26524816">
      <w:pPr>
        <w:spacing w:line="560" w:lineRule="exact"/>
        <w:ind w:firstLine="321"/>
        <w:jc w:val="center"/>
        <w:rPr>
          <w:rFonts w:hint="eastAsia" w:ascii="黑体" w:hAnsi="黑体" w:eastAsia="黑体"/>
          <w:b/>
          <w:color w:val="auto"/>
          <w:sz w:val="32"/>
          <w:szCs w:val="32"/>
          <w:highlight w:val="none"/>
        </w:rPr>
      </w:pPr>
    </w:p>
    <w:p w14:paraId="61EBB644">
      <w:pPr>
        <w:spacing w:line="560" w:lineRule="exact"/>
        <w:ind w:firstLine="321"/>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71564E55">
      <w:pPr>
        <w:ind w:firstLine="640"/>
        <w:rPr>
          <w:color w:val="auto"/>
          <w:highlight w:val="none"/>
        </w:rPr>
      </w:pPr>
    </w:p>
    <w:p w14:paraId="5952D845">
      <w:pPr>
        <w:spacing w:line="276"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70BB1BF6">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1421AF32">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7FB030F0">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68A05DD1">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2BA0FC89">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2763B313">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71EAA519">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4F711BB1">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5314564C">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5B57D272">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59B8E8B6">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125150DB">
      <w:pPr>
        <w:pStyle w:val="432"/>
        <w:spacing w:line="276" w:lineRule="auto"/>
        <w:ind w:right="1050" w:firstLine="2880"/>
        <w:jc w:val="both"/>
        <w:rPr>
          <w:rFonts w:ascii="宋体" w:hAnsi="宋体" w:eastAsia="宋体"/>
          <w:color w:val="auto"/>
          <w:sz w:val="24"/>
          <w:szCs w:val="22"/>
          <w:highlight w:val="none"/>
        </w:rPr>
      </w:pPr>
    </w:p>
    <w:p w14:paraId="2B2BDB5A">
      <w:pPr>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：____________</w:t>
      </w:r>
    </w:p>
    <w:p w14:paraId="1552BA9A">
      <w:pPr>
        <w:spacing w:before="25" w:after="25" w:line="360" w:lineRule="auto"/>
        <w:rPr>
          <w:color w:val="auto"/>
          <w:sz w:val="24"/>
          <w:highlight w:val="none"/>
          <w:lang w:val="zh-CN"/>
        </w:rPr>
      </w:pPr>
      <w:r>
        <w:rPr>
          <w:color w:val="auto"/>
          <w:sz w:val="24"/>
          <w:szCs w:val="20"/>
          <w:highlight w:val="none"/>
        </w:rPr>
        <w:t>日期：</w:t>
      </w:r>
      <w:r>
        <w:rPr>
          <w:color w:val="auto"/>
          <w:sz w:val="24"/>
          <w:highlight w:val="none"/>
          <w:lang w:val="zh-CN"/>
        </w:rPr>
        <w:t>____________</w:t>
      </w:r>
      <w:r>
        <w:rPr>
          <w:color w:val="auto"/>
          <w:sz w:val="24"/>
          <w:szCs w:val="20"/>
          <w:highlight w:val="none"/>
        </w:rPr>
        <w:t xml:space="preserve">年______月______日   </w:t>
      </w:r>
    </w:p>
    <w:p w14:paraId="08B09A86">
      <w:pPr>
        <w:widowControl/>
        <w:jc w:val="left"/>
        <w:rPr>
          <w:rFonts w:hint="eastAsia" w:ascii="宋体" w:hAnsi="宋体" w:eastAsia="宋体"/>
          <w:b/>
          <w:bCs w:val="0"/>
          <w:color w:val="auto"/>
          <w:sz w:val="24"/>
          <w:szCs w:val="20"/>
          <w:highlight w:val="none"/>
          <w:lang w:eastAsia="zh-CN"/>
        </w:rPr>
      </w:pPr>
      <w:r>
        <w:rPr>
          <w:color w:val="auto"/>
          <w:sz w:val="24"/>
          <w:szCs w:val="20"/>
          <w:highlight w:val="none"/>
        </w:rPr>
        <w:br w:type="page" w:clear="all"/>
      </w:r>
      <w:r>
        <w:rPr>
          <w:rFonts w:hint="eastAsia" w:ascii="宋体" w:hAnsi="宋体" w:cs="宋体"/>
          <w:b/>
          <w:bCs/>
          <w:color w:val="auto"/>
          <w:sz w:val="24"/>
          <w:szCs w:val="20"/>
          <w:highlight w:val="none"/>
          <w:lang w:val="en-US" w:eastAsia="zh-CN"/>
        </w:rPr>
        <w:t>8</w:t>
      </w:r>
      <w:r>
        <w:rPr>
          <w:rFonts w:hint="eastAsia" w:ascii="宋体" w:hAnsi="宋体" w:eastAsia="宋体" w:cs="宋体"/>
          <w:b/>
          <w:bCs/>
          <w:color w:val="auto"/>
          <w:sz w:val="24"/>
          <w:szCs w:val="20"/>
          <w:highlight w:val="none"/>
        </w:rPr>
        <w:t xml:space="preserve">  </w:t>
      </w:r>
      <w:r>
        <w:rPr>
          <w:rFonts w:hint="eastAsia" w:ascii="宋体" w:hAnsi="宋体" w:cs="宋体"/>
          <w:b/>
          <w:bCs w:val="0"/>
          <w:color w:val="auto"/>
          <w:sz w:val="24"/>
          <w:highlight w:val="none"/>
        </w:rPr>
        <w:t>供应商管理关系或控股关系信息情况表</w:t>
      </w:r>
      <w:r>
        <w:rPr>
          <w:rFonts w:hint="eastAsia" w:ascii="宋体" w:hAnsi="宋体" w:cs="宋体"/>
          <w:b/>
          <w:bCs w:val="0"/>
          <w:color w:val="auto"/>
          <w:sz w:val="24"/>
          <w:highlight w:val="none"/>
          <w:lang w:eastAsia="zh-CN"/>
        </w:rPr>
        <w:t>（实质性格式）</w:t>
      </w:r>
    </w:p>
    <w:p w14:paraId="65BC00BE">
      <w:pPr>
        <w:spacing w:line="520" w:lineRule="exact"/>
        <w:ind w:firstLine="560"/>
        <w:jc w:val="center"/>
        <w:outlineLvl w:val="0"/>
        <w:rPr>
          <w:rFonts w:hint="eastAsia" w:ascii="宋体" w:hAnsi="宋体" w:cs="宋体"/>
          <w:b/>
          <w:color w:val="auto"/>
          <w:sz w:val="24"/>
          <w:highlight w:val="none"/>
        </w:rPr>
      </w:pPr>
      <w:r>
        <w:rPr>
          <w:rFonts w:hint="eastAsia" w:ascii="宋体" w:hAnsi="宋体" w:cs="宋体"/>
          <w:b/>
          <w:color w:val="auto"/>
          <w:sz w:val="24"/>
          <w:highlight w:val="none"/>
        </w:rPr>
        <w:t>供应商管理关系或控股关系信息情况表</w:t>
      </w:r>
    </w:p>
    <w:p w14:paraId="0820F31D">
      <w:pPr>
        <w:spacing w:line="520" w:lineRule="exact"/>
        <w:ind w:firstLine="560"/>
        <w:jc w:val="left"/>
        <w:rPr>
          <w:rFonts w:hint="eastAsia" w:ascii="宋体" w:hAnsi="宋体" w:cs="宋体"/>
          <w:color w:val="auto"/>
          <w:sz w:val="24"/>
          <w:highlight w:val="none"/>
        </w:rPr>
      </w:pPr>
      <w:r>
        <w:rPr>
          <w:rFonts w:hint="eastAsia" w:ascii="宋体" w:hAnsi="宋体" w:cs="宋体"/>
          <w:color w:val="auto"/>
          <w:sz w:val="24"/>
          <w:highlight w:val="none"/>
        </w:rPr>
        <w:t>供应商名称：</w:t>
      </w:r>
    </w:p>
    <w:tbl>
      <w:tblPr>
        <w:tblStyle w:val="3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496"/>
        <w:gridCol w:w="1994"/>
        <w:gridCol w:w="1453"/>
        <w:gridCol w:w="2808"/>
      </w:tblGrid>
      <w:tr w14:paraId="10752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3" w:hRule="atLeast"/>
          <w:jc w:val="center"/>
        </w:trPr>
        <w:tc>
          <w:tcPr>
            <w:tcW w:w="2496" w:type="dxa"/>
            <w:noWrap w:val="0"/>
            <w:vAlign w:val="center"/>
          </w:tcPr>
          <w:p w14:paraId="42583AAE">
            <w:pPr>
              <w:spacing w:line="520" w:lineRule="exact"/>
              <w:ind w:firstLine="560"/>
              <w:jc w:val="left"/>
              <w:rPr>
                <w:rFonts w:ascii="宋体" w:hAnsi="宋体" w:cs="宋体"/>
                <w:color w:val="auto"/>
                <w:sz w:val="24"/>
                <w:highlight w:val="none"/>
              </w:rPr>
            </w:pPr>
            <w:r>
              <w:rPr>
                <w:rFonts w:hint="eastAsia" w:ascii="宋体" w:hAnsi="宋体" w:cs="宋体"/>
                <w:color w:val="auto"/>
                <w:sz w:val="24"/>
                <w:highlight w:val="none"/>
              </w:rPr>
              <w:t>法定代表人</w:t>
            </w:r>
          </w:p>
        </w:tc>
        <w:tc>
          <w:tcPr>
            <w:tcW w:w="1994" w:type="dxa"/>
            <w:noWrap w:val="0"/>
            <w:vAlign w:val="center"/>
          </w:tcPr>
          <w:p w14:paraId="582D4797">
            <w:pPr>
              <w:spacing w:line="520" w:lineRule="exact"/>
              <w:ind w:firstLine="560"/>
              <w:jc w:val="left"/>
              <w:rPr>
                <w:rFonts w:ascii="宋体" w:hAnsi="宋体" w:cs="宋体"/>
                <w:color w:val="auto"/>
                <w:sz w:val="24"/>
                <w:highlight w:val="none"/>
              </w:rPr>
            </w:pPr>
          </w:p>
        </w:tc>
        <w:tc>
          <w:tcPr>
            <w:tcW w:w="1453" w:type="dxa"/>
            <w:noWrap w:val="0"/>
            <w:vAlign w:val="center"/>
          </w:tcPr>
          <w:p w14:paraId="7F4C98AB">
            <w:pPr>
              <w:spacing w:line="520" w:lineRule="exact"/>
              <w:jc w:val="left"/>
              <w:rPr>
                <w:rFonts w:ascii="宋体" w:hAnsi="宋体" w:cs="宋体"/>
                <w:color w:val="auto"/>
                <w:sz w:val="24"/>
                <w:highlight w:val="none"/>
              </w:rPr>
            </w:pPr>
            <w:r>
              <w:rPr>
                <w:rFonts w:hint="eastAsia" w:ascii="宋体" w:hAnsi="宋体" w:cs="宋体"/>
                <w:color w:val="auto"/>
                <w:sz w:val="24"/>
                <w:highlight w:val="none"/>
              </w:rPr>
              <w:t>成立日期</w:t>
            </w:r>
          </w:p>
        </w:tc>
        <w:tc>
          <w:tcPr>
            <w:tcW w:w="2808" w:type="dxa"/>
            <w:noWrap w:val="0"/>
            <w:vAlign w:val="center"/>
          </w:tcPr>
          <w:p w14:paraId="3C398C0E">
            <w:pPr>
              <w:spacing w:line="520" w:lineRule="exact"/>
              <w:ind w:firstLine="560"/>
              <w:jc w:val="left"/>
              <w:rPr>
                <w:rFonts w:ascii="宋体" w:hAnsi="宋体" w:cs="宋体"/>
                <w:color w:val="auto"/>
                <w:sz w:val="24"/>
                <w:highlight w:val="none"/>
              </w:rPr>
            </w:pPr>
          </w:p>
        </w:tc>
      </w:tr>
      <w:tr w14:paraId="191B26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6" w:type="dxa"/>
            <w:noWrap w:val="0"/>
            <w:vAlign w:val="center"/>
          </w:tcPr>
          <w:p w14:paraId="1DAF8AA1">
            <w:pPr>
              <w:spacing w:line="520" w:lineRule="exact"/>
              <w:ind w:firstLine="560"/>
              <w:jc w:val="left"/>
              <w:rPr>
                <w:rFonts w:ascii="宋体" w:hAnsi="宋体" w:cs="宋体"/>
                <w:color w:val="auto"/>
                <w:sz w:val="24"/>
                <w:highlight w:val="none"/>
              </w:rPr>
            </w:pPr>
            <w:r>
              <w:rPr>
                <w:rFonts w:hint="eastAsia" w:ascii="宋体" w:hAnsi="宋体" w:cs="宋体"/>
                <w:color w:val="auto"/>
                <w:sz w:val="24"/>
                <w:highlight w:val="none"/>
              </w:rPr>
              <w:t>企业地址</w:t>
            </w:r>
          </w:p>
        </w:tc>
        <w:tc>
          <w:tcPr>
            <w:tcW w:w="1994" w:type="dxa"/>
            <w:noWrap w:val="0"/>
            <w:vAlign w:val="center"/>
          </w:tcPr>
          <w:p w14:paraId="3DE58F41">
            <w:pPr>
              <w:spacing w:line="520" w:lineRule="exact"/>
              <w:ind w:firstLine="560"/>
              <w:jc w:val="left"/>
              <w:rPr>
                <w:rFonts w:ascii="宋体" w:hAnsi="宋体" w:cs="宋体"/>
                <w:color w:val="auto"/>
                <w:sz w:val="24"/>
                <w:highlight w:val="none"/>
              </w:rPr>
            </w:pPr>
          </w:p>
        </w:tc>
        <w:tc>
          <w:tcPr>
            <w:tcW w:w="1453" w:type="dxa"/>
            <w:noWrap w:val="0"/>
            <w:vAlign w:val="center"/>
          </w:tcPr>
          <w:p w14:paraId="7016E7C1">
            <w:pPr>
              <w:spacing w:line="520" w:lineRule="exact"/>
              <w:jc w:val="left"/>
              <w:rPr>
                <w:rFonts w:ascii="宋体" w:hAnsi="宋体" w:cs="宋体"/>
                <w:color w:val="auto"/>
                <w:sz w:val="24"/>
                <w:highlight w:val="none"/>
              </w:rPr>
            </w:pPr>
            <w:r>
              <w:rPr>
                <w:rFonts w:hint="eastAsia" w:ascii="宋体" w:hAnsi="宋体" w:cs="宋体"/>
                <w:color w:val="auto"/>
                <w:sz w:val="24"/>
                <w:highlight w:val="none"/>
              </w:rPr>
              <w:t>注册资本</w:t>
            </w:r>
          </w:p>
        </w:tc>
        <w:tc>
          <w:tcPr>
            <w:tcW w:w="2808" w:type="dxa"/>
            <w:noWrap w:val="0"/>
            <w:vAlign w:val="center"/>
          </w:tcPr>
          <w:p w14:paraId="7F80711B">
            <w:pPr>
              <w:spacing w:line="520" w:lineRule="exact"/>
              <w:ind w:firstLine="560"/>
              <w:jc w:val="left"/>
              <w:rPr>
                <w:rFonts w:ascii="宋体" w:hAnsi="宋体" w:cs="宋体"/>
                <w:color w:val="auto"/>
                <w:sz w:val="24"/>
                <w:highlight w:val="none"/>
              </w:rPr>
            </w:pPr>
            <w:r>
              <w:rPr>
                <w:rFonts w:hint="eastAsia" w:ascii="宋体" w:hAnsi="宋体" w:cs="宋体"/>
                <w:color w:val="auto"/>
                <w:sz w:val="24"/>
                <w:highlight w:val="none"/>
              </w:rPr>
              <w:t>万元</w:t>
            </w:r>
          </w:p>
        </w:tc>
      </w:tr>
      <w:tr w14:paraId="08A54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6" w:type="dxa"/>
            <w:noWrap w:val="0"/>
            <w:vAlign w:val="center"/>
          </w:tcPr>
          <w:p w14:paraId="122AF31D">
            <w:pPr>
              <w:spacing w:line="520" w:lineRule="exact"/>
              <w:jc w:val="left"/>
              <w:rPr>
                <w:rFonts w:ascii="宋体" w:hAnsi="宋体" w:cs="宋体"/>
                <w:color w:val="auto"/>
                <w:sz w:val="24"/>
                <w:highlight w:val="none"/>
              </w:rPr>
            </w:pPr>
            <w:r>
              <w:rPr>
                <w:rFonts w:hint="eastAsia" w:ascii="宋体" w:hAnsi="宋体" w:cs="宋体"/>
                <w:color w:val="auto"/>
                <w:sz w:val="24"/>
                <w:highlight w:val="none"/>
              </w:rPr>
              <w:t>统一社会信用代码</w:t>
            </w:r>
          </w:p>
        </w:tc>
        <w:tc>
          <w:tcPr>
            <w:tcW w:w="6255" w:type="dxa"/>
            <w:gridSpan w:val="3"/>
            <w:noWrap w:val="0"/>
            <w:vAlign w:val="center"/>
          </w:tcPr>
          <w:p w14:paraId="532E3CDE">
            <w:pPr>
              <w:spacing w:line="520" w:lineRule="exact"/>
              <w:ind w:firstLine="560"/>
              <w:jc w:val="left"/>
              <w:rPr>
                <w:rFonts w:ascii="宋体" w:hAnsi="宋体" w:cs="宋体"/>
                <w:color w:val="auto"/>
                <w:sz w:val="24"/>
                <w:highlight w:val="none"/>
              </w:rPr>
            </w:pPr>
          </w:p>
        </w:tc>
      </w:tr>
      <w:tr w14:paraId="23C6C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164" w:hRule="atLeast"/>
          <w:jc w:val="center"/>
        </w:trPr>
        <w:tc>
          <w:tcPr>
            <w:tcW w:w="2496" w:type="dxa"/>
            <w:noWrap w:val="0"/>
            <w:vAlign w:val="center"/>
          </w:tcPr>
          <w:p w14:paraId="1E607BA4">
            <w:pPr>
              <w:spacing w:line="520" w:lineRule="exact"/>
              <w:ind w:firstLine="560"/>
              <w:jc w:val="left"/>
              <w:rPr>
                <w:rFonts w:ascii="宋体" w:hAnsi="宋体" w:cs="宋体"/>
                <w:color w:val="auto"/>
                <w:sz w:val="24"/>
                <w:highlight w:val="none"/>
              </w:rPr>
            </w:pPr>
            <w:r>
              <w:rPr>
                <w:rFonts w:hint="eastAsia" w:ascii="宋体" w:hAnsi="宋体" w:cs="宋体"/>
                <w:color w:val="auto"/>
                <w:sz w:val="24"/>
                <w:highlight w:val="none"/>
              </w:rPr>
              <w:t>股东信息</w:t>
            </w:r>
          </w:p>
        </w:tc>
        <w:tc>
          <w:tcPr>
            <w:tcW w:w="6255" w:type="dxa"/>
            <w:gridSpan w:val="3"/>
            <w:noWrap w:val="0"/>
            <w:vAlign w:val="center"/>
          </w:tcPr>
          <w:p w14:paraId="57D096F3">
            <w:pPr>
              <w:jc w:val="left"/>
              <w:rPr>
                <w:rFonts w:ascii="宋体" w:hAnsi="宋体" w:cs="宋体"/>
                <w:color w:val="auto"/>
                <w:sz w:val="24"/>
                <w:highlight w:val="none"/>
              </w:rPr>
            </w:pPr>
            <w:r>
              <w:rPr>
                <w:rFonts w:hint="eastAsia" w:ascii="宋体" w:hAnsi="宋体" w:cs="宋体"/>
                <w:color w:val="auto"/>
                <w:sz w:val="24"/>
                <w:highlight w:val="none"/>
              </w:rPr>
              <w:t>股东1（姓名或单位名称）：</w:t>
            </w:r>
          </w:p>
          <w:p w14:paraId="02DDF1E5">
            <w:pPr>
              <w:jc w:val="left"/>
              <w:rPr>
                <w:rFonts w:ascii="宋体" w:hAnsi="宋体" w:cs="宋体"/>
                <w:color w:val="auto"/>
                <w:sz w:val="24"/>
                <w:highlight w:val="none"/>
              </w:rPr>
            </w:pPr>
            <w:r>
              <w:rPr>
                <w:rFonts w:hint="eastAsia" w:ascii="宋体" w:hAnsi="宋体" w:cs="宋体"/>
                <w:color w:val="auto"/>
                <w:sz w:val="24"/>
                <w:highlight w:val="none"/>
              </w:rPr>
              <w:t>股东1持股比例：</w:t>
            </w:r>
          </w:p>
          <w:p w14:paraId="2E7C2EF7">
            <w:pPr>
              <w:jc w:val="left"/>
              <w:rPr>
                <w:rFonts w:ascii="宋体" w:hAnsi="宋体" w:cs="宋体"/>
                <w:color w:val="auto"/>
                <w:sz w:val="24"/>
                <w:highlight w:val="none"/>
              </w:rPr>
            </w:pPr>
            <w:r>
              <w:rPr>
                <w:rFonts w:hint="eastAsia" w:ascii="宋体" w:hAnsi="宋体" w:cs="宋体"/>
                <w:color w:val="auto"/>
                <w:sz w:val="24"/>
                <w:highlight w:val="none"/>
              </w:rPr>
              <w:t>股东2（姓名或单位名称）：</w:t>
            </w:r>
          </w:p>
          <w:p w14:paraId="196D3976">
            <w:pPr>
              <w:jc w:val="left"/>
              <w:rPr>
                <w:rFonts w:ascii="宋体" w:hAnsi="宋体" w:cs="宋体"/>
                <w:color w:val="auto"/>
                <w:sz w:val="24"/>
                <w:highlight w:val="none"/>
              </w:rPr>
            </w:pPr>
            <w:r>
              <w:rPr>
                <w:rFonts w:hint="eastAsia" w:ascii="宋体" w:hAnsi="宋体" w:cs="宋体"/>
                <w:color w:val="auto"/>
                <w:sz w:val="24"/>
                <w:highlight w:val="none"/>
              </w:rPr>
              <w:t>股东2持股比例：</w:t>
            </w:r>
          </w:p>
          <w:p w14:paraId="3F622796">
            <w:pPr>
              <w:jc w:val="left"/>
              <w:rPr>
                <w:rFonts w:ascii="宋体" w:hAnsi="宋体" w:cs="宋体"/>
                <w:color w:val="auto"/>
                <w:sz w:val="24"/>
                <w:highlight w:val="none"/>
              </w:rPr>
            </w:pPr>
            <w:r>
              <w:rPr>
                <w:rFonts w:hint="eastAsia" w:ascii="宋体" w:hAnsi="宋体" w:cs="宋体"/>
                <w:color w:val="auto"/>
                <w:sz w:val="24"/>
                <w:highlight w:val="none"/>
              </w:rPr>
              <w:t>（不够的可自行增加）</w:t>
            </w:r>
          </w:p>
        </w:tc>
      </w:tr>
      <w:tr w14:paraId="2CC58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598" w:hRule="atLeast"/>
          <w:jc w:val="center"/>
        </w:trPr>
        <w:tc>
          <w:tcPr>
            <w:tcW w:w="2496" w:type="dxa"/>
            <w:noWrap w:val="0"/>
            <w:vAlign w:val="center"/>
          </w:tcPr>
          <w:p w14:paraId="02C58AD5">
            <w:pPr>
              <w:spacing w:line="520" w:lineRule="exact"/>
              <w:jc w:val="left"/>
              <w:rPr>
                <w:rFonts w:ascii="宋体" w:hAnsi="宋体" w:cs="宋体"/>
                <w:color w:val="auto"/>
                <w:sz w:val="24"/>
                <w:highlight w:val="none"/>
              </w:rPr>
            </w:pPr>
            <w:r>
              <w:rPr>
                <w:rFonts w:hint="eastAsia" w:ascii="宋体" w:hAnsi="宋体" w:cs="宋体"/>
                <w:color w:val="auto"/>
                <w:sz w:val="24"/>
                <w:highlight w:val="none"/>
              </w:rPr>
              <w:t>公司是否有直接控股、管理关系的关联企业（在</w:t>
            </w:r>
            <w:r>
              <w:rPr>
                <w:rFonts w:hint="eastAsia" w:ascii="宋体" w:hAnsi="宋体" w:cs="宋体"/>
                <w:color w:val="auto"/>
                <w:sz w:val="24"/>
                <w:highlight w:val="none"/>
              </w:rPr>
              <w:sym w:font="Wingdings 2" w:char="00A3"/>
            </w:r>
            <w:r>
              <w:rPr>
                <w:rFonts w:hint="eastAsia" w:ascii="宋体" w:hAnsi="宋体" w:cs="宋体"/>
                <w:color w:val="auto"/>
                <w:sz w:val="24"/>
                <w:highlight w:val="none"/>
              </w:rPr>
              <w:t xml:space="preserve"> 中进行勾选）</w:t>
            </w:r>
          </w:p>
        </w:tc>
        <w:tc>
          <w:tcPr>
            <w:tcW w:w="6255" w:type="dxa"/>
            <w:gridSpan w:val="3"/>
            <w:noWrap w:val="0"/>
            <w:vAlign w:val="center"/>
          </w:tcPr>
          <w:p w14:paraId="08C7DFCB">
            <w:pPr>
              <w:jc w:val="left"/>
              <w:rPr>
                <w:rFonts w:ascii="宋体" w:hAnsi="宋体" w:cs="宋体"/>
                <w:color w:val="auto"/>
                <w:sz w:val="24"/>
                <w:highlight w:val="none"/>
              </w:rPr>
            </w:pPr>
            <w:r>
              <w:rPr>
                <w:rFonts w:hint="eastAsia" w:ascii="宋体" w:hAnsi="宋体" w:cs="宋体"/>
                <w:color w:val="auto"/>
                <w:sz w:val="24"/>
                <w:highlight w:val="none"/>
              </w:rPr>
              <w:sym w:font="Wingdings 2" w:char="00A3"/>
            </w:r>
            <w:r>
              <w:rPr>
                <w:rFonts w:hint="eastAsia" w:ascii="宋体" w:hAnsi="宋体" w:cs="宋体"/>
                <w:color w:val="auto"/>
                <w:sz w:val="24"/>
                <w:highlight w:val="none"/>
              </w:rPr>
              <w:t xml:space="preserve"> 无直接控股、管理关系的关联企业</w:t>
            </w:r>
          </w:p>
          <w:p w14:paraId="53F2D976">
            <w:pPr>
              <w:jc w:val="left"/>
              <w:rPr>
                <w:rFonts w:ascii="宋体" w:hAnsi="宋体" w:cs="宋体"/>
                <w:color w:val="auto"/>
                <w:sz w:val="24"/>
                <w:highlight w:val="none"/>
              </w:rPr>
            </w:pPr>
            <w:r>
              <w:rPr>
                <w:rFonts w:hint="eastAsia" w:ascii="宋体" w:hAnsi="宋体" w:cs="宋体"/>
                <w:color w:val="auto"/>
                <w:sz w:val="24"/>
                <w:highlight w:val="none"/>
              </w:rPr>
              <w:sym w:font="Wingdings 2" w:char="00A3"/>
            </w:r>
            <w:r>
              <w:rPr>
                <w:rFonts w:hint="eastAsia" w:ascii="宋体" w:hAnsi="宋体" w:cs="宋体"/>
                <w:color w:val="auto"/>
                <w:sz w:val="24"/>
                <w:highlight w:val="none"/>
              </w:rPr>
              <w:t xml:space="preserve"> 有直接控股、管理关系的关联企业，关联信息如下：</w:t>
            </w:r>
          </w:p>
          <w:p w14:paraId="3460DB52">
            <w:pPr>
              <w:jc w:val="left"/>
              <w:rPr>
                <w:rFonts w:ascii="宋体" w:hAnsi="宋体" w:cs="宋体"/>
                <w:color w:val="auto"/>
                <w:sz w:val="24"/>
                <w:highlight w:val="none"/>
              </w:rPr>
            </w:pPr>
            <w:r>
              <w:rPr>
                <w:rFonts w:hint="eastAsia" w:ascii="宋体" w:hAnsi="宋体" w:cs="宋体"/>
                <w:color w:val="auto"/>
                <w:sz w:val="24"/>
                <w:highlight w:val="none"/>
              </w:rPr>
              <w:t>企业1名称：</w:t>
            </w:r>
          </w:p>
          <w:p w14:paraId="2368FE14">
            <w:pPr>
              <w:jc w:val="left"/>
              <w:rPr>
                <w:rFonts w:ascii="宋体" w:hAnsi="宋体" w:cs="宋体"/>
                <w:color w:val="auto"/>
                <w:sz w:val="24"/>
                <w:highlight w:val="none"/>
              </w:rPr>
            </w:pPr>
            <w:r>
              <w:rPr>
                <w:rFonts w:hint="eastAsia" w:ascii="宋体" w:hAnsi="宋体" w:cs="宋体"/>
                <w:color w:val="auto"/>
                <w:sz w:val="24"/>
                <w:highlight w:val="none"/>
              </w:rPr>
              <w:t>（直接控股</w:t>
            </w:r>
            <w:r>
              <w:rPr>
                <w:rFonts w:hint="eastAsia" w:ascii="宋体" w:hAnsi="宋体" w:cs="宋体"/>
                <w:color w:val="auto"/>
                <w:sz w:val="24"/>
                <w:highlight w:val="none"/>
              </w:rPr>
              <w:sym w:font="Wingdings 2" w:char="00A3"/>
            </w:r>
            <w:r>
              <w:rPr>
                <w:rFonts w:hint="eastAsia" w:ascii="宋体" w:hAnsi="宋体" w:cs="宋体"/>
                <w:color w:val="auto"/>
                <w:sz w:val="24"/>
                <w:highlight w:val="none"/>
              </w:rPr>
              <w:t xml:space="preserve"> （持股比例：    % ；管理关系</w:t>
            </w:r>
            <w:r>
              <w:rPr>
                <w:rFonts w:hint="eastAsia" w:ascii="宋体" w:hAnsi="宋体" w:cs="宋体"/>
                <w:color w:val="auto"/>
                <w:sz w:val="24"/>
                <w:highlight w:val="none"/>
              </w:rPr>
              <w:sym w:font="Wingdings 2" w:char="00A3"/>
            </w:r>
            <w:r>
              <w:rPr>
                <w:rFonts w:hint="eastAsia" w:ascii="宋体" w:hAnsi="宋体" w:cs="宋体"/>
                <w:color w:val="auto"/>
                <w:sz w:val="24"/>
                <w:highlight w:val="none"/>
              </w:rPr>
              <w:t xml:space="preserve"> ）</w:t>
            </w:r>
          </w:p>
          <w:p w14:paraId="71AD1607">
            <w:pPr>
              <w:jc w:val="left"/>
              <w:rPr>
                <w:rFonts w:ascii="宋体" w:hAnsi="宋体" w:cs="宋体"/>
                <w:color w:val="auto"/>
                <w:sz w:val="24"/>
                <w:highlight w:val="none"/>
              </w:rPr>
            </w:pPr>
            <w:r>
              <w:rPr>
                <w:rFonts w:hint="eastAsia" w:ascii="宋体" w:hAnsi="宋体" w:cs="宋体"/>
                <w:color w:val="auto"/>
                <w:sz w:val="24"/>
                <w:highlight w:val="none"/>
              </w:rPr>
              <w:t>企业2名称：</w:t>
            </w:r>
          </w:p>
          <w:p w14:paraId="453DC9DC">
            <w:pPr>
              <w:jc w:val="left"/>
              <w:rPr>
                <w:rFonts w:ascii="宋体" w:hAnsi="宋体" w:cs="宋体"/>
                <w:color w:val="auto"/>
                <w:sz w:val="24"/>
                <w:highlight w:val="none"/>
              </w:rPr>
            </w:pPr>
            <w:r>
              <w:rPr>
                <w:rFonts w:hint="eastAsia" w:ascii="宋体" w:hAnsi="宋体" w:cs="宋体"/>
                <w:color w:val="auto"/>
                <w:sz w:val="24"/>
                <w:highlight w:val="none"/>
              </w:rPr>
              <w:t>（直接控股</w:t>
            </w:r>
            <w:r>
              <w:rPr>
                <w:rFonts w:hint="eastAsia" w:ascii="宋体" w:hAnsi="宋体" w:cs="宋体"/>
                <w:color w:val="auto"/>
                <w:sz w:val="24"/>
                <w:highlight w:val="none"/>
              </w:rPr>
              <w:sym w:font="Wingdings 2" w:char="00A3"/>
            </w:r>
            <w:r>
              <w:rPr>
                <w:rFonts w:hint="eastAsia" w:ascii="宋体" w:hAnsi="宋体" w:cs="宋体"/>
                <w:color w:val="auto"/>
                <w:sz w:val="24"/>
                <w:highlight w:val="none"/>
              </w:rPr>
              <w:t xml:space="preserve"> （持股比例：    % ；管理关系</w:t>
            </w:r>
            <w:r>
              <w:rPr>
                <w:rFonts w:hint="eastAsia" w:ascii="宋体" w:hAnsi="宋体" w:cs="宋体"/>
                <w:color w:val="auto"/>
                <w:sz w:val="24"/>
                <w:highlight w:val="none"/>
              </w:rPr>
              <w:sym w:font="Wingdings 2" w:char="00A3"/>
            </w:r>
            <w:r>
              <w:rPr>
                <w:rFonts w:hint="eastAsia" w:ascii="宋体" w:hAnsi="宋体" w:cs="宋体"/>
                <w:color w:val="auto"/>
                <w:sz w:val="24"/>
                <w:highlight w:val="none"/>
              </w:rPr>
              <w:t xml:space="preserve"> ）</w:t>
            </w:r>
          </w:p>
          <w:p w14:paraId="5D61FD85">
            <w:pPr>
              <w:jc w:val="left"/>
              <w:rPr>
                <w:rFonts w:ascii="宋体" w:hAnsi="宋体" w:cs="宋体"/>
                <w:color w:val="auto"/>
                <w:sz w:val="24"/>
                <w:highlight w:val="none"/>
              </w:rPr>
            </w:pPr>
            <w:r>
              <w:rPr>
                <w:rFonts w:hint="eastAsia" w:ascii="宋体" w:hAnsi="宋体" w:cs="宋体"/>
                <w:color w:val="auto"/>
                <w:sz w:val="24"/>
                <w:highlight w:val="none"/>
              </w:rPr>
              <w:t>（不够的可自行增加或以附件形式提交）</w:t>
            </w:r>
          </w:p>
        </w:tc>
      </w:tr>
      <w:tr w14:paraId="14067E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502" w:hRule="atLeast"/>
          <w:jc w:val="center"/>
        </w:trPr>
        <w:tc>
          <w:tcPr>
            <w:tcW w:w="8751" w:type="dxa"/>
            <w:gridSpan w:val="4"/>
            <w:noWrap w:val="0"/>
            <w:vAlign w:val="center"/>
          </w:tcPr>
          <w:p w14:paraId="07300D5C">
            <w:pPr>
              <w:spacing w:line="500" w:lineRule="exact"/>
              <w:ind w:firstLine="561"/>
              <w:jc w:val="left"/>
              <w:rPr>
                <w:rFonts w:ascii="宋体" w:hAnsi="宋体" w:cs="宋体"/>
                <w:color w:val="auto"/>
                <w:sz w:val="24"/>
                <w:highlight w:val="none"/>
              </w:rPr>
            </w:pPr>
            <w:r>
              <w:rPr>
                <w:rFonts w:hint="eastAsia" w:ascii="宋体" w:hAnsi="宋体" w:cs="宋体"/>
                <w:color w:val="auto"/>
                <w:sz w:val="24"/>
                <w:highlight w:val="none"/>
              </w:rPr>
              <w:t>本单位承诺：</w:t>
            </w:r>
          </w:p>
          <w:p w14:paraId="412CF838">
            <w:pPr>
              <w:numPr>
                <w:ilvl w:val="0"/>
                <w:numId w:val="9"/>
              </w:numPr>
              <w:spacing w:line="500" w:lineRule="exact"/>
              <w:ind w:firstLine="561"/>
              <w:jc w:val="left"/>
              <w:rPr>
                <w:rFonts w:hint="eastAsia" w:ascii="宋体" w:hAnsi="宋体" w:cs="宋体"/>
                <w:color w:val="auto"/>
                <w:sz w:val="24"/>
                <w:highlight w:val="none"/>
              </w:rPr>
            </w:pPr>
            <w:r>
              <w:rPr>
                <w:rFonts w:hint="eastAsia" w:ascii="宋体" w:hAnsi="宋体" w:cs="宋体"/>
                <w:color w:val="auto"/>
                <w:sz w:val="24"/>
                <w:highlight w:val="none"/>
              </w:rPr>
              <w:t>上述信息内容与本单位提供给注册登记部门、行业管理部门、司法部门、行业组织以及在采购活动中提交的所有资料均合法、真实、有效，无任何伪造、修改、虚假成份，对所提供信息的真实性、完整性、准确性负责。</w:t>
            </w:r>
          </w:p>
          <w:p w14:paraId="28093EEB">
            <w:pPr>
              <w:numPr>
                <w:ilvl w:val="0"/>
                <w:numId w:val="9"/>
              </w:numPr>
              <w:spacing w:line="500" w:lineRule="exact"/>
              <w:ind w:firstLine="561"/>
              <w:jc w:val="left"/>
              <w:rPr>
                <w:rFonts w:hint="eastAsia" w:ascii="宋体" w:hAnsi="宋体"/>
                <w:color w:val="auto"/>
                <w:sz w:val="24"/>
                <w:highlight w:val="none"/>
              </w:rPr>
            </w:pPr>
            <w:r>
              <w:rPr>
                <w:rFonts w:hint="eastAsia" w:ascii="宋体" w:hAnsi="宋体"/>
                <w:color w:val="auto"/>
                <w:sz w:val="24"/>
                <w:highlight w:val="none"/>
              </w:rPr>
              <w:t>自觉接受行政管理、监督部门、行业组织、社会公众的监督。</w:t>
            </w:r>
          </w:p>
          <w:p w14:paraId="01B9BB28">
            <w:pPr>
              <w:spacing w:line="500" w:lineRule="exact"/>
              <w:ind w:firstLine="561"/>
              <w:jc w:val="left"/>
              <w:rPr>
                <w:rFonts w:hint="eastAsia" w:ascii="宋体" w:hAnsi="宋体" w:cs="宋体"/>
                <w:color w:val="auto"/>
                <w:sz w:val="24"/>
                <w:highlight w:val="none"/>
              </w:rPr>
            </w:pPr>
            <w:r>
              <w:rPr>
                <w:rFonts w:hint="eastAsia" w:ascii="宋体" w:hAnsi="宋体" w:cs="宋体"/>
                <w:color w:val="auto"/>
                <w:sz w:val="24"/>
                <w:highlight w:val="none"/>
              </w:rPr>
              <w:t>3.若违背承诺约定，经查实，愿意接受相关部门、采购人的处理，承担违约责任，并依法承担相应的法律责任。</w:t>
            </w:r>
          </w:p>
          <w:p w14:paraId="44D308F7">
            <w:pPr>
              <w:spacing w:line="500" w:lineRule="exact"/>
              <w:ind w:firstLine="561"/>
              <w:jc w:val="left"/>
              <w:rPr>
                <w:rFonts w:hint="eastAsia" w:ascii="宋体" w:hAnsi="宋体" w:cs="宋体"/>
                <w:color w:val="auto"/>
                <w:sz w:val="24"/>
                <w:highlight w:val="none"/>
              </w:rPr>
            </w:pPr>
          </w:p>
          <w:p w14:paraId="76383BC6">
            <w:pPr>
              <w:spacing w:line="500" w:lineRule="exact"/>
              <w:ind w:firstLine="561"/>
              <w:jc w:val="left"/>
              <w:rPr>
                <w:rFonts w:ascii="宋体" w:hAnsi="宋体" w:cs="宋体"/>
                <w:color w:val="auto"/>
                <w:sz w:val="24"/>
                <w:highlight w:val="none"/>
              </w:rPr>
            </w:pPr>
            <w:r>
              <w:rPr>
                <w:rFonts w:hint="eastAsia" w:ascii="宋体" w:hAnsi="宋体" w:cs="宋体"/>
                <w:color w:val="auto"/>
                <w:sz w:val="24"/>
                <w:highlight w:val="none"/>
              </w:rPr>
              <w:t>供应商（盖章）：</w:t>
            </w:r>
          </w:p>
          <w:p w14:paraId="79C35FE0">
            <w:pPr>
              <w:spacing w:line="500" w:lineRule="exact"/>
              <w:ind w:firstLine="561"/>
              <w:jc w:val="left"/>
              <w:rPr>
                <w:rFonts w:ascii="宋体" w:hAnsi="宋体" w:cs="宋体"/>
                <w:color w:val="auto"/>
                <w:sz w:val="24"/>
                <w:highlight w:val="none"/>
              </w:rPr>
            </w:pPr>
            <w:r>
              <w:rPr>
                <w:rFonts w:hint="eastAsia" w:ascii="宋体" w:hAnsi="宋体" w:cs="宋体"/>
                <w:color w:val="auto"/>
                <w:sz w:val="24"/>
                <w:highlight w:val="none"/>
              </w:rPr>
              <w:t>法定代表人（签字或盖章）：</w:t>
            </w:r>
          </w:p>
          <w:p w14:paraId="7ACB3DFF">
            <w:pPr>
              <w:spacing w:line="520" w:lineRule="exact"/>
              <w:ind w:firstLine="560"/>
              <w:jc w:val="left"/>
              <w:rPr>
                <w:rFonts w:ascii="宋体" w:hAnsi="宋体" w:cs="宋体"/>
                <w:color w:val="auto"/>
                <w:sz w:val="24"/>
                <w:highlight w:val="none"/>
              </w:rPr>
            </w:pPr>
            <w:r>
              <w:rPr>
                <w:rFonts w:hint="eastAsia" w:ascii="宋体" w:hAnsi="宋体" w:cs="宋体"/>
                <w:color w:val="auto"/>
                <w:sz w:val="24"/>
                <w:highlight w:val="none"/>
              </w:rPr>
              <w:t xml:space="preserve">                                             日期：   年  月  日</w:t>
            </w:r>
          </w:p>
        </w:tc>
      </w:tr>
    </w:tbl>
    <w:p w14:paraId="360AF023">
      <w:pPr>
        <w:spacing w:line="360" w:lineRule="auto"/>
        <w:outlineLvl w:val="2"/>
        <w:rPr>
          <w:rFonts w:hint="eastAsia" w:ascii="宋体" w:hAnsi="宋体" w:eastAsia="宋体" w:cs="宋体"/>
          <w:b/>
          <w:bCs/>
          <w:color w:val="auto"/>
          <w:sz w:val="24"/>
          <w:szCs w:val="20"/>
          <w:highlight w:val="none"/>
        </w:rPr>
      </w:pPr>
    </w:p>
    <w:p w14:paraId="50B2E7A6">
      <w:pPr>
        <w:spacing w:line="360" w:lineRule="auto"/>
        <w:outlineLvl w:val="2"/>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9 </w:t>
      </w:r>
      <w:r>
        <w:rPr>
          <w:rFonts w:hint="eastAsia" w:ascii="宋体" w:hAnsi="宋体" w:eastAsia="宋体" w:cs="宋体"/>
          <w:b/>
          <w:bCs/>
          <w:color w:val="auto"/>
          <w:sz w:val="24"/>
          <w:szCs w:val="20"/>
          <w:highlight w:val="none"/>
        </w:rPr>
        <w:t>报价一览表</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p w14:paraId="0D7E08E0">
      <w:pPr>
        <w:tabs>
          <w:tab w:val="left" w:pos="1800"/>
          <w:tab w:val="left" w:pos="5580"/>
        </w:tabs>
        <w:spacing w:line="360" w:lineRule="auto"/>
        <w:jc w:val="left"/>
        <w:rPr>
          <w:rFonts w:hint="eastAsia"/>
          <w:color w:val="auto"/>
          <w:sz w:val="24"/>
          <w:highlight w:val="none"/>
        </w:rPr>
      </w:pPr>
      <w:bookmarkStart w:id="699" w:name="_Toc127151562"/>
      <w:bookmarkStart w:id="700" w:name="_Toc142311062"/>
      <w:bookmarkStart w:id="701" w:name="_Toc150480798"/>
      <w:bookmarkStart w:id="702" w:name="_Toc265228400"/>
      <w:bookmarkStart w:id="703" w:name="_Toc150774765"/>
      <w:bookmarkStart w:id="704" w:name="_Toc305158830"/>
      <w:bookmarkStart w:id="705" w:name="_Toc226309806"/>
      <w:bookmarkStart w:id="706" w:name="_Toc195842927"/>
      <w:bookmarkStart w:id="707" w:name="_Toc226965752"/>
      <w:bookmarkStart w:id="708" w:name="_Toc305158904"/>
      <w:bookmarkStart w:id="709" w:name="_Toc226965835"/>
      <w:bookmarkStart w:id="710" w:name="_Toc264969252"/>
      <w:bookmarkStart w:id="711" w:name="_Toc226337258"/>
      <w:bookmarkStart w:id="712" w:name="_Toc195842926"/>
      <w:bookmarkStart w:id="713" w:name="_Toc305158829"/>
      <w:bookmarkStart w:id="714" w:name="_Toc226965751"/>
      <w:bookmarkStart w:id="715" w:name="_Toc305158903"/>
      <w:bookmarkStart w:id="716" w:name="_Toc150480797"/>
      <w:bookmarkStart w:id="717" w:name="_Toc226309805"/>
      <w:bookmarkStart w:id="718" w:name="_Toc127151561"/>
      <w:bookmarkStart w:id="719" w:name="_Toc264969251"/>
      <w:bookmarkStart w:id="720" w:name="_Toc226965834"/>
      <w:bookmarkStart w:id="721" w:name="_Toc265228399"/>
      <w:bookmarkStart w:id="722" w:name="_Toc150774764"/>
      <w:bookmarkStart w:id="723" w:name="_Toc226337257"/>
      <w:bookmarkStart w:id="724" w:name="_Toc142311061"/>
    </w:p>
    <w:p w14:paraId="4230F024">
      <w:pPr>
        <w:jc w:val="center"/>
        <w:rPr>
          <w:b/>
          <w:color w:val="auto"/>
          <w:sz w:val="36"/>
          <w:szCs w:val="36"/>
          <w:highlight w:val="none"/>
        </w:rPr>
      </w:pPr>
      <w:bookmarkStart w:id="725" w:name="_Toc305158900"/>
      <w:bookmarkStart w:id="726" w:name="_Toc164608827"/>
      <w:bookmarkStart w:id="727" w:name="_Toc226309802"/>
      <w:bookmarkStart w:id="728" w:name="_Toc226965748"/>
      <w:bookmarkStart w:id="729" w:name="_Toc226965831"/>
      <w:bookmarkStart w:id="730" w:name="_Toc305158826"/>
      <w:bookmarkStart w:id="731" w:name="_Toc195842923"/>
      <w:bookmarkStart w:id="732" w:name="_Toc226337254"/>
      <w:bookmarkStart w:id="733" w:name="_Toc264969248"/>
      <w:bookmarkStart w:id="734" w:name="_Toc164608672"/>
      <w:bookmarkStart w:id="735" w:name="_Toc265228396"/>
      <w:r>
        <w:rPr>
          <w:rFonts w:hint="eastAsia"/>
          <w:b/>
          <w:color w:val="auto"/>
          <w:sz w:val="36"/>
          <w:szCs w:val="36"/>
          <w:highlight w:val="none"/>
        </w:rPr>
        <w:t>报价一览表</w:t>
      </w:r>
      <w:bookmarkEnd w:id="725"/>
      <w:bookmarkEnd w:id="726"/>
      <w:bookmarkEnd w:id="727"/>
      <w:bookmarkEnd w:id="728"/>
      <w:bookmarkEnd w:id="729"/>
      <w:bookmarkEnd w:id="730"/>
      <w:bookmarkEnd w:id="731"/>
      <w:bookmarkEnd w:id="732"/>
      <w:bookmarkEnd w:id="733"/>
      <w:bookmarkEnd w:id="734"/>
      <w:bookmarkEnd w:id="735"/>
    </w:p>
    <w:p w14:paraId="13DA9F43">
      <w:pPr>
        <w:tabs>
          <w:tab w:val="left" w:pos="1800"/>
          <w:tab w:val="left" w:pos="5580"/>
        </w:tabs>
        <w:spacing w:line="360" w:lineRule="auto"/>
        <w:jc w:val="left"/>
        <w:rPr>
          <w:color w:val="auto"/>
          <w:sz w:val="24"/>
          <w:highlight w:val="none"/>
        </w:rPr>
      </w:pPr>
    </w:p>
    <w:p w14:paraId="2E37AFDA">
      <w:pPr>
        <w:tabs>
          <w:tab w:val="left" w:pos="1800"/>
          <w:tab w:val="left" w:pos="5580"/>
        </w:tabs>
        <w:spacing w:line="360" w:lineRule="auto"/>
        <w:jc w:val="left"/>
        <w:rPr>
          <w:i/>
          <w:color w:val="auto"/>
          <w:sz w:val="24"/>
          <w:highlight w:val="none"/>
        </w:rPr>
      </w:pPr>
    </w:p>
    <w:p w14:paraId="0B6ABE67">
      <w:pPr>
        <w:tabs>
          <w:tab w:val="left" w:pos="1800"/>
          <w:tab w:val="left" w:pos="5580"/>
        </w:tabs>
        <w:spacing w:line="360" w:lineRule="auto"/>
        <w:ind w:firstLine="240"/>
        <w:jc w:val="left"/>
        <w:rPr>
          <w:color w:val="auto"/>
          <w:sz w:val="24"/>
          <w:highlight w:val="none"/>
          <w:u w:val="single"/>
        </w:rPr>
      </w:pPr>
      <w:r>
        <w:rPr>
          <w:color w:val="auto"/>
          <w:sz w:val="24"/>
          <w:highlight w:val="none"/>
        </w:rPr>
        <w:t>项目编号/包号：_____________________     项目名称：_______________________</w:t>
      </w:r>
    </w:p>
    <w:tbl>
      <w:tblPr>
        <w:tblStyle w:val="36"/>
        <w:tblW w:w="84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0"/>
        <w:gridCol w:w="3317"/>
        <w:gridCol w:w="2097"/>
        <w:gridCol w:w="2206"/>
      </w:tblGrid>
      <w:tr w14:paraId="48EF0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31"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noWrap w:val="0"/>
            <w:vAlign w:val="center"/>
          </w:tcPr>
          <w:p w14:paraId="6FA6C8BE">
            <w:pPr>
              <w:tabs>
                <w:tab w:val="left" w:pos="5580"/>
              </w:tabs>
              <w:jc w:val="center"/>
              <w:rPr>
                <w:b/>
                <w:color w:val="auto"/>
                <w:sz w:val="24"/>
                <w:highlight w:val="none"/>
              </w:rPr>
            </w:pPr>
            <w:r>
              <w:rPr>
                <w:rFonts w:hint="eastAsia"/>
                <w:b/>
                <w:color w:val="auto"/>
                <w:sz w:val="24"/>
                <w:highlight w:val="none"/>
              </w:rPr>
              <w:t>序号</w:t>
            </w:r>
          </w:p>
        </w:tc>
        <w:tc>
          <w:tcPr>
            <w:tcW w:w="3317" w:type="dxa"/>
            <w:vMerge w:val="restart"/>
            <w:tcBorders>
              <w:top w:val="single" w:color="000000" w:sz="4" w:space="0"/>
              <w:left w:val="single" w:color="000000" w:sz="4" w:space="0"/>
              <w:bottom w:val="single" w:color="000000" w:sz="4" w:space="0"/>
              <w:right w:val="single" w:color="000000" w:sz="4" w:space="0"/>
            </w:tcBorders>
            <w:noWrap w:val="0"/>
            <w:vAlign w:val="center"/>
          </w:tcPr>
          <w:p w14:paraId="460B52AC">
            <w:pPr>
              <w:tabs>
                <w:tab w:val="left" w:pos="5580"/>
              </w:tabs>
              <w:jc w:val="center"/>
              <w:rPr>
                <w:b/>
                <w:color w:val="auto"/>
                <w:sz w:val="24"/>
                <w:highlight w:val="none"/>
              </w:rPr>
            </w:pPr>
            <w:r>
              <w:rPr>
                <w:rFonts w:hint="eastAsia"/>
                <w:b/>
                <w:color w:val="auto"/>
                <w:sz w:val="24"/>
                <w:highlight w:val="none"/>
              </w:rPr>
              <w:t>供应商名称</w:t>
            </w:r>
          </w:p>
        </w:tc>
        <w:tc>
          <w:tcPr>
            <w:tcW w:w="4303" w:type="dxa"/>
            <w:gridSpan w:val="2"/>
            <w:tcBorders>
              <w:top w:val="single" w:color="000000" w:sz="4" w:space="0"/>
              <w:left w:val="single" w:color="000000" w:sz="4" w:space="0"/>
              <w:bottom w:val="single" w:color="000000" w:sz="4" w:space="0"/>
              <w:right w:val="single" w:color="000000" w:sz="4" w:space="0"/>
            </w:tcBorders>
            <w:noWrap w:val="0"/>
            <w:vAlign w:val="center"/>
          </w:tcPr>
          <w:p w14:paraId="22103B95">
            <w:pPr>
              <w:tabs>
                <w:tab w:val="left" w:pos="5580"/>
              </w:tabs>
              <w:jc w:val="center"/>
              <w:rPr>
                <w:b/>
                <w:color w:val="auto"/>
                <w:sz w:val="24"/>
                <w:highlight w:val="none"/>
              </w:rPr>
            </w:pPr>
            <w:r>
              <w:rPr>
                <w:rFonts w:hint="eastAsia"/>
                <w:b/>
                <w:color w:val="auto"/>
                <w:sz w:val="24"/>
                <w:highlight w:val="none"/>
              </w:rPr>
              <w:t>报价</w:t>
            </w:r>
          </w:p>
        </w:tc>
      </w:tr>
      <w:tr w14:paraId="6A2FD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74"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7DD6C6">
            <w:pPr>
              <w:widowControl/>
              <w:jc w:val="left"/>
              <w:rPr>
                <w:b/>
                <w:color w:val="auto"/>
                <w:sz w:val="24"/>
                <w:highlight w:val="none"/>
              </w:rPr>
            </w:pPr>
          </w:p>
        </w:tc>
        <w:tc>
          <w:tcPr>
            <w:tcW w:w="3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64CFA1">
            <w:pPr>
              <w:widowControl/>
              <w:jc w:val="left"/>
              <w:rPr>
                <w:b/>
                <w:color w:val="auto"/>
                <w:sz w:val="24"/>
                <w:highlight w:val="none"/>
              </w:rPr>
            </w:pPr>
          </w:p>
        </w:tc>
        <w:tc>
          <w:tcPr>
            <w:tcW w:w="2097" w:type="dxa"/>
            <w:tcBorders>
              <w:top w:val="single" w:color="000000" w:sz="4" w:space="0"/>
              <w:left w:val="single" w:color="000000" w:sz="4" w:space="0"/>
              <w:bottom w:val="single" w:color="000000" w:sz="4" w:space="0"/>
              <w:right w:val="single" w:color="000000" w:sz="4" w:space="0"/>
            </w:tcBorders>
            <w:noWrap w:val="0"/>
            <w:vAlign w:val="center"/>
          </w:tcPr>
          <w:p w14:paraId="2CD09D7B">
            <w:pPr>
              <w:tabs>
                <w:tab w:val="left" w:pos="5580"/>
              </w:tabs>
              <w:jc w:val="center"/>
              <w:rPr>
                <w:b/>
                <w:color w:val="auto"/>
                <w:sz w:val="24"/>
                <w:highlight w:val="none"/>
              </w:rPr>
            </w:pPr>
            <w:r>
              <w:rPr>
                <w:rFonts w:hint="eastAsia"/>
                <w:b/>
                <w:color w:val="auto"/>
                <w:sz w:val="24"/>
                <w:highlight w:val="none"/>
              </w:rPr>
              <w:t>大写</w:t>
            </w:r>
          </w:p>
        </w:tc>
        <w:tc>
          <w:tcPr>
            <w:tcW w:w="2206" w:type="dxa"/>
            <w:tcBorders>
              <w:top w:val="single" w:color="000000" w:sz="4" w:space="0"/>
              <w:left w:val="single" w:color="000000" w:sz="4" w:space="0"/>
              <w:bottom w:val="single" w:color="000000" w:sz="4" w:space="0"/>
              <w:right w:val="single" w:color="000000" w:sz="4" w:space="0"/>
            </w:tcBorders>
            <w:noWrap w:val="0"/>
            <w:vAlign w:val="center"/>
          </w:tcPr>
          <w:p w14:paraId="44EF507F">
            <w:pPr>
              <w:tabs>
                <w:tab w:val="left" w:pos="5580"/>
              </w:tabs>
              <w:jc w:val="center"/>
              <w:rPr>
                <w:b/>
                <w:color w:val="auto"/>
                <w:sz w:val="24"/>
                <w:highlight w:val="none"/>
              </w:rPr>
            </w:pPr>
            <w:r>
              <w:rPr>
                <w:rFonts w:hint="eastAsia"/>
                <w:b/>
                <w:color w:val="auto"/>
                <w:sz w:val="24"/>
                <w:highlight w:val="none"/>
              </w:rPr>
              <w:t>小写</w:t>
            </w:r>
          </w:p>
        </w:tc>
      </w:tr>
      <w:tr w14:paraId="0C1EB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14:paraId="15AA7EEF">
            <w:pPr>
              <w:tabs>
                <w:tab w:val="left" w:pos="5580"/>
              </w:tabs>
              <w:jc w:val="center"/>
              <w:rPr>
                <w:color w:val="auto"/>
                <w:sz w:val="24"/>
                <w:highlight w:val="none"/>
              </w:rPr>
            </w:pPr>
          </w:p>
        </w:tc>
        <w:tc>
          <w:tcPr>
            <w:tcW w:w="3317" w:type="dxa"/>
            <w:tcBorders>
              <w:top w:val="single" w:color="000000" w:sz="4" w:space="0"/>
              <w:left w:val="single" w:color="000000" w:sz="4" w:space="0"/>
              <w:bottom w:val="single" w:color="000000" w:sz="4" w:space="0"/>
              <w:right w:val="single" w:color="000000" w:sz="4" w:space="0"/>
            </w:tcBorders>
            <w:noWrap w:val="0"/>
            <w:vAlign w:val="center"/>
          </w:tcPr>
          <w:p w14:paraId="79DF64FC">
            <w:pPr>
              <w:tabs>
                <w:tab w:val="left" w:pos="5580"/>
              </w:tabs>
              <w:jc w:val="center"/>
              <w:rPr>
                <w:color w:val="auto"/>
                <w:sz w:val="24"/>
                <w:highlight w:val="none"/>
              </w:rPr>
            </w:pPr>
          </w:p>
        </w:tc>
        <w:tc>
          <w:tcPr>
            <w:tcW w:w="2097" w:type="dxa"/>
            <w:tcBorders>
              <w:top w:val="single" w:color="000000" w:sz="4" w:space="0"/>
              <w:left w:val="single" w:color="000000" w:sz="4" w:space="0"/>
              <w:bottom w:val="single" w:color="000000" w:sz="4" w:space="0"/>
              <w:right w:val="single" w:color="000000" w:sz="4" w:space="0"/>
            </w:tcBorders>
            <w:noWrap w:val="0"/>
            <w:vAlign w:val="center"/>
          </w:tcPr>
          <w:p w14:paraId="018B1EA1">
            <w:pPr>
              <w:tabs>
                <w:tab w:val="left" w:pos="5580"/>
              </w:tabs>
              <w:jc w:val="center"/>
              <w:rPr>
                <w:color w:val="auto"/>
                <w:sz w:val="24"/>
                <w:highlight w:val="none"/>
              </w:rPr>
            </w:pPr>
          </w:p>
        </w:tc>
        <w:tc>
          <w:tcPr>
            <w:tcW w:w="2206" w:type="dxa"/>
            <w:tcBorders>
              <w:top w:val="single" w:color="000000" w:sz="4" w:space="0"/>
              <w:left w:val="single" w:color="000000" w:sz="4" w:space="0"/>
              <w:bottom w:val="single" w:color="000000" w:sz="4" w:space="0"/>
              <w:right w:val="single" w:color="000000" w:sz="4" w:space="0"/>
            </w:tcBorders>
            <w:noWrap w:val="0"/>
            <w:vAlign w:val="center"/>
          </w:tcPr>
          <w:p w14:paraId="16C6C31E">
            <w:pPr>
              <w:tabs>
                <w:tab w:val="left" w:pos="5580"/>
              </w:tabs>
              <w:jc w:val="center"/>
              <w:rPr>
                <w:color w:val="auto"/>
                <w:sz w:val="24"/>
                <w:highlight w:val="none"/>
              </w:rPr>
            </w:pPr>
          </w:p>
        </w:tc>
      </w:tr>
    </w:tbl>
    <w:p w14:paraId="28C3AC25">
      <w:pPr>
        <w:jc w:val="left"/>
        <w:rPr>
          <w:color w:val="auto"/>
          <w:sz w:val="24"/>
          <w:highlight w:val="none"/>
        </w:rPr>
      </w:pPr>
    </w:p>
    <w:p w14:paraId="19686595">
      <w:pPr>
        <w:jc w:val="left"/>
        <w:rPr>
          <w:color w:val="auto"/>
          <w:sz w:val="24"/>
          <w:szCs w:val="20"/>
          <w:highlight w:val="none"/>
        </w:rPr>
      </w:pPr>
      <w:r>
        <w:rPr>
          <w:color w:val="auto"/>
          <w:sz w:val="24"/>
          <w:highlight w:val="none"/>
        </w:rPr>
        <w:t>注：1</w:t>
      </w:r>
      <w:r>
        <w:rPr>
          <w:color w:val="auto"/>
          <w:sz w:val="24"/>
          <w:szCs w:val="20"/>
          <w:highlight w:val="none"/>
        </w:rPr>
        <w:t>.此表中，每包的报价应和《分项报价表》中的总价相一致。</w:t>
      </w:r>
    </w:p>
    <w:p w14:paraId="601E0190">
      <w:pPr>
        <w:tabs>
          <w:tab w:val="left" w:pos="5580"/>
        </w:tabs>
        <w:ind w:firstLine="480"/>
        <w:rPr>
          <w:color w:val="auto"/>
          <w:sz w:val="24"/>
          <w:szCs w:val="20"/>
          <w:highlight w:val="none"/>
        </w:rPr>
      </w:pPr>
      <w:r>
        <w:rPr>
          <w:color w:val="auto"/>
          <w:sz w:val="24"/>
          <w:szCs w:val="20"/>
          <w:highlight w:val="none"/>
        </w:rPr>
        <w:t>2.本表必须按包分别填写。</w:t>
      </w:r>
    </w:p>
    <w:p w14:paraId="44CB40F6">
      <w:pPr>
        <w:spacing w:before="25" w:after="25" w:line="360" w:lineRule="auto"/>
        <w:rPr>
          <w:color w:val="auto"/>
          <w:sz w:val="24"/>
          <w:highlight w:val="none"/>
          <w:lang w:val="zh-CN"/>
        </w:rPr>
      </w:pPr>
    </w:p>
    <w:p w14:paraId="70781272">
      <w:pPr>
        <w:spacing w:before="25" w:after="25" w:line="360" w:lineRule="auto"/>
        <w:rPr>
          <w:color w:val="auto"/>
          <w:sz w:val="24"/>
          <w:highlight w:val="none"/>
          <w:lang w:val="zh-CN"/>
        </w:rPr>
      </w:pPr>
      <w:r>
        <w:rPr>
          <w:color w:val="auto"/>
          <w:sz w:val="24"/>
          <w:highlight w:val="none"/>
          <w:lang w:val="zh-CN"/>
        </w:rPr>
        <w:t xml:space="preserve">                         </w:t>
      </w:r>
    </w:p>
    <w:p w14:paraId="6EBF064C">
      <w:pPr>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：____________</w:t>
      </w:r>
    </w:p>
    <w:p w14:paraId="0521F77E">
      <w:pPr>
        <w:spacing w:before="25" w:after="25" w:line="360" w:lineRule="auto"/>
        <w:rPr>
          <w:color w:val="auto"/>
          <w:sz w:val="24"/>
          <w:highlight w:val="none"/>
          <w:lang w:val="zh-CN"/>
        </w:rPr>
      </w:pPr>
      <w:r>
        <w:rPr>
          <w:color w:val="auto"/>
          <w:sz w:val="24"/>
          <w:szCs w:val="20"/>
          <w:highlight w:val="none"/>
        </w:rPr>
        <w:t>日期：</w:t>
      </w:r>
      <w:r>
        <w:rPr>
          <w:color w:val="auto"/>
          <w:sz w:val="24"/>
          <w:highlight w:val="none"/>
          <w:lang w:val="zh-CN"/>
        </w:rPr>
        <w:t>____________</w:t>
      </w:r>
      <w:r>
        <w:rPr>
          <w:color w:val="auto"/>
          <w:sz w:val="24"/>
          <w:szCs w:val="20"/>
          <w:highlight w:val="none"/>
        </w:rPr>
        <w:t xml:space="preserve">年______月______日   </w:t>
      </w:r>
    </w:p>
    <w:p w14:paraId="1A568DC2">
      <w:pPr>
        <w:spacing w:line="360" w:lineRule="auto"/>
        <w:jc w:val="left"/>
        <w:rPr>
          <w:rFonts w:hint="eastAsia"/>
          <w:color w:val="auto"/>
          <w:sz w:val="24"/>
          <w:szCs w:val="20"/>
          <w:highlight w:val="none"/>
          <w:lang w:val="en-US" w:eastAsia="zh-CN"/>
        </w:rPr>
      </w:pPr>
    </w:p>
    <w:p w14:paraId="0AC8073D">
      <w:pPr>
        <w:spacing w:line="360" w:lineRule="auto"/>
        <w:jc w:val="left"/>
        <w:rPr>
          <w:rFonts w:hint="eastAsia"/>
          <w:color w:val="auto"/>
          <w:sz w:val="24"/>
          <w:szCs w:val="20"/>
          <w:highlight w:val="none"/>
          <w:lang w:val="en-US" w:eastAsia="zh-CN"/>
        </w:rPr>
      </w:pPr>
    </w:p>
    <w:p w14:paraId="42C486EB">
      <w:pPr>
        <w:spacing w:line="360" w:lineRule="auto"/>
        <w:jc w:val="left"/>
        <w:rPr>
          <w:rFonts w:hint="eastAsia"/>
          <w:color w:val="auto"/>
          <w:sz w:val="24"/>
          <w:szCs w:val="20"/>
          <w:highlight w:val="none"/>
          <w:lang w:val="en-US" w:eastAsia="zh-CN"/>
        </w:rPr>
      </w:pPr>
    </w:p>
    <w:p w14:paraId="0E506C59">
      <w:pPr>
        <w:spacing w:line="360" w:lineRule="auto"/>
        <w:jc w:val="left"/>
        <w:rPr>
          <w:rFonts w:hint="eastAsia"/>
          <w:color w:val="auto"/>
          <w:sz w:val="24"/>
          <w:szCs w:val="20"/>
          <w:highlight w:val="none"/>
          <w:lang w:val="en-US" w:eastAsia="zh-CN"/>
        </w:rPr>
      </w:pPr>
    </w:p>
    <w:p w14:paraId="199B7DDC">
      <w:pPr>
        <w:spacing w:line="360" w:lineRule="auto"/>
        <w:jc w:val="left"/>
        <w:rPr>
          <w:rFonts w:hint="eastAsia"/>
          <w:color w:val="auto"/>
          <w:sz w:val="24"/>
          <w:szCs w:val="20"/>
          <w:highlight w:val="none"/>
          <w:lang w:val="en-US" w:eastAsia="zh-CN"/>
        </w:rPr>
      </w:pPr>
    </w:p>
    <w:p w14:paraId="5F2437A0">
      <w:pPr>
        <w:spacing w:line="360" w:lineRule="auto"/>
        <w:jc w:val="left"/>
        <w:rPr>
          <w:rFonts w:hint="eastAsia"/>
          <w:color w:val="auto"/>
          <w:sz w:val="24"/>
          <w:szCs w:val="20"/>
          <w:highlight w:val="none"/>
          <w:lang w:val="en-US" w:eastAsia="zh-CN"/>
        </w:rPr>
      </w:pPr>
    </w:p>
    <w:p w14:paraId="47EC960E">
      <w:pPr>
        <w:spacing w:line="360" w:lineRule="auto"/>
        <w:jc w:val="left"/>
        <w:rPr>
          <w:rFonts w:hint="eastAsia"/>
          <w:color w:val="auto"/>
          <w:sz w:val="24"/>
          <w:szCs w:val="20"/>
          <w:highlight w:val="none"/>
          <w:lang w:val="en-US" w:eastAsia="zh-CN"/>
        </w:rPr>
      </w:pPr>
    </w:p>
    <w:p w14:paraId="7ED068AB">
      <w:pPr>
        <w:spacing w:line="360" w:lineRule="auto"/>
        <w:jc w:val="left"/>
        <w:rPr>
          <w:rFonts w:hint="eastAsia"/>
          <w:color w:val="auto"/>
          <w:sz w:val="24"/>
          <w:szCs w:val="20"/>
          <w:highlight w:val="none"/>
          <w:lang w:val="en-US" w:eastAsia="zh-CN"/>
        </w:rPr>
      </w:pPr>
    </w:p>
    <w:p w14:paraId="21C252AC">
      <w:pPr>
        <w:spacing w:line="360" w:lineRule="auto"/>
        <w:jc w:val="left"/>
        <w:rPr>
          <w:rFonts w:hint="eastAsia"/>
          <w:color w:val="auto"/>
          <w:sz w:val="24"/>
          <w:szCs w:val="20"/>
          <w:highlight w:val="none"/>
          <w:lang w:val="en-US" w:eastAsia="zh-CN"/>
        </w:rPr>
      </w:pPr>
    </w:p>
    <w:p w14:paraId="0E5C5096">
      <w:pPr>
        <w:spacing w:line="360" w:lineRule="auto"/>
        <w:jc w:val="left"/>
        <w:rPr>
          <w:rFonts w:hint="eastAsia"/>
          <w:color w:val="auto"/>
          <w:sz w:val="24"/>
          <w:szCs w:val="20"/>
          <w:highlight w:val="none"/>
          <w:lang w:val="en-US" w:eastAsia="zh-CN"/>
        </w:rPr>
      </w:pPr>
    </w:p>
    <w:p w14:paraId="720055BF">
      <w:pPr>
        <w:spacing w:line="360" w:lineRule="auto"/>
        <w:jc w:val="left"/>
        <w:rPr>
          <w:rFonts w:hint="eastAsia"/>
          <w:color w:val="auto"/>
          <w:sz w:val="24"/>
          <w:szCs w:val="20"/>
          <w:highlight w:val="none"/>
          <w:lang w:val="en-US" w:eastAsia="zh-CN"/>
        </w:rPr>
      </w:pPr>
    </w:p>
    <w:p w14:paraId="6258F7BB">
      <w:pPr>
        <w:spacing w:line="360" w:lineRule="auto"/>
        <w:jc w:val="left"/>
        <w:rPr>
          <w:rFonts w:hint="eastAsia"/>
          <w:color w:val="auto"/>
          <w:sz w:val="24"/>
          <w:szCs w:val="20"/>
          <w:highlight w:val="none"/>
          <w:lang w:val="en-US" w:eastAsia="zh-CN"/>
        </w:rPr>
      </w:pPr>
    </w:p>
    <w:p w14:paraId="52BCF01B">
      <w:pPr>
        <w:spacing w:line="360" w:lineRule="auto"/>
        <w:jc w:val="left"/>
        <w:rPr>
          <w:rFonts w:hint="eastAsia"/>
          <w:color w:val="auto"/>
          <w:sz w:val="24"/>
          <w:szCs w:val="20"/>
          <w:highlight w:val="none"/>
          <w:lang w:val="en-US" w:eastAsia="zh-CN"/>
        </w:rPr>
      </w:pPr>
    </w:p>
    <w:p w14:paraId="1A449312">
      <w:pPr>
        <w:spacing w:line="360" w:lineRule="auto"/>
        <w:jc w:val="left"/>
        <w:rPr>
          <w:rFonts w:hint="eastAsia"/>
          <w:color w:val="auto"/>
          <w:sz w:val="24"/>
          <w:szCs w:val="20"/>
          <w:highlight w:val="none"/>
          <w:lang w:val="en-US" w:eastAsia="zh-CN"/>
        </w:rPr>
      </w:pPr>
    </w:p>
    <w:p w14:paraId="23E41CC9">
      <w:pPr>
        <w:spacing w:line="360" w:lineRule="auto"/>
        <w:jc w:val="left"/>
        <w:rPr>
          <w:rFonts w:hint="eastAsia"/>
          <w:color w:val="auto"/>
          <w:sz w:val="24"/>
          <w:szCs w:val="20"/>
          <w:highlight w:val="none"/>
          <w:lang w:val="en-US" w:eastAsia="zh-CN"/>
        </w:rPr>
      </w:pPr>
    </w:p>
    <w:p w14:paraId="3C7E2312">
      <w:pPr>
        <w:spacing w:line="312"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szCs w:val="20"/>
          <w:highlight w:val="none"/>
        </w:rPr>
        <w:t xml:space="preserve">10  </w:t>
      </w:r>
      <w:r>
        <w:rPr>
          <w:rFonts w:hint="eastAsia" w:ascii="宋体" w:hAnsi="宋体" w:eastAsia="宋体" w:cs="宋体"/>
          <w:b/>
          <w:bCs/>
          <w:color w:val="auto"/>
          <w:sz w:val="24"/>
          <w:highlight w:val="none"/>
        </w:rPr>
        <w:t>分项报价表</w:t>
      </w:r>
    </w:p>
    <w:p w14:paraId="2B81F537">
      <w:pPr>
        <w:spacing w:line="360" w:lineRule="auto"/>
        <w:rPr>
          <w:color w:val="auto"/>
          <w:sz w:val="24"/>
          <w:szCs w:val="20"/>
          <w:highlight w:val="none"/>
        </w:rPr>
      </w:pPr>
      <w:bookmarkStart w:id="736" w:name="_Toc25130"/>
      <w:bookmarkStart w:id="737" w:name="_Toc23177"/>
      <w:bookmarkStart w:id="738" w:name="_Toc29062"/>
      <w:bookmarkStart w:id="739" w:name="_Toc22479"/>
    </w:p>
    <w:bookmarkEnd w:id="736"/>
    <w:bookmarkEnd w:id="737"/>
    <w:bookmarkEnd w:id="738"/>
    <w:bookmarkEnd w:id="739"/>
    <w:p w14:paraId="46DCFE18">
      <w:pPr>
        <w:jc w:val="center"/>
        <w:rPr>
          <w:b/>
          <w:color w:val="auto"/>
          <w:sz w:val="36"/>
          <w:szCs w:val="36"/>
          <w:highlight w:val="none"/>
        </w:rPr>
      </w:pPr>
      <w:r>
        <w:rPr>
          <w:rFonts w:hint="eastAsia"/>
          <w:b/>
          <w:color w:val="auto"/>
          <w:sz w:val="36"/>
          <w:szCs w:val="36"/>
          <w:highlight w:val="none"/>
        </w:rPr>
        <w:t>分项报价表</w:t>
      </w:r>
    </w:p>
    <w:p w14:paraId="43FA5671">
      <w:pPr>
        <w:jc w:val="left"/>
        <w:rPr>
          <w:rFonts w:ascii="宋体" w:hAnsi="宋体"/>
          <w:color w:val="auto"/>
          <w:sz w:val="24"/>
          <w:highlight w:val="none"/>
        </w:rPr>
      </w:pPr>
    </w:p>
    <w:tbl>
      <w:tblPr>
        <w:tblStyle w:val="36"/>
        <w:tblW w:w="9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9"/>
        <w:gridCol w:w="2292"/>
        <w:gridCol w:w="2706"/>
        <w:gridCol w:w="803"/>
        <w:gridCol w:w="907"/>
        <w:gridCol w:w="971"/>
        <w:gridCol w:w="937"/>
      </w:tblGrid>
      <w:tr w14:paraId="512A1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6" w:hRule="atLeast"/>
          <w:jc w:val="center"/>
        </w:trPr>
        <w:tc>
          <w:tcPr>
            <w:tcW w:w="759" w:type="dxa"/>
            <w:vMerge w:val="restart"/>
            <w:noWrap w:val="0"/>
            <w:vAlign w:val="center"/>
          </w:tcPr>
          <w:p w14:paraId="4557FA41">
            <w:pPr>
              <w:widowControl/>
              <w:jc w:val="center"/>
              <w:rPr>
                <w:rFonts w:ascii="宋体" w:hAnsi="宋体" w:cs="宋体"/>
                <w:color w:val="auto"/>
                <w:sz w:val="24"/>
                <w:highlight w:val="none"/>
              </w:rPr>
            </w:pPr>
            <w:r>
              <w:rPr>
                <w:rFonts w:hint="eastAsia" w:ascii="宋体" w:hAnsi="宋体" w:cs="宋体"/>
                <w:color w:val="auto"/>
                <w:sz w:val="24"/>
                <w:highlight w:val="none"/>
              </w:rPr>
              <w:t>序号</w:t>
            </w:r>
          </w:p>
        </w:tc>
        <w:tc>
          <w:tcPr>
            <w:tcW w:w="2292" w:type="dxa"/>
            <w:vMerge w:val="restart"/>
            <w:noWrap w:val="0"/>
            <w:vAlign w:val="center"/>
          </w:tcPr>
          <w:p w14:paraId="3EE72586">
            <w:pPr>
              <w:widowControl/>
              <w:jc w:val="center"/>
              <w:rPr>
                <w:rFonts w:ascii="宋体" w:hAnsi="宋体" w:cs="宋体"/>
                <w:color w:val="auto"/>
                <w:sz w:val="24"/>
                <w:highlight w:val="none"/>
              </w:rPr>
            </w:pPr>
            <w:r>
              <w:rPr>
                <w:rFonts w:hint="eastAsia" w:ascii="宋体" w:hAnsi="宋体" w:cs="宋体"/>
                <w:color w:val="auto"/>
                <w:sz w:val="24"/>
                <w:highlight w:val="none"/>
              </w:rPr>
              <w:t>项  目 名</w:t>
            </w:r>
            <w:r>
              <w:rPr>
                <w:rFonts w:ascii="宋体" w:hAnsi="宋体" w:cs="宋体"/>
                <w:color w:val="auto"/>
                <w:sz w:val="24"/>
                <w:highlight w:val="none"/>
              </w:rPr>
              <w:t xml:space="preserve">  </w:t>
            </w:r>
            <w:r>
              <w:rPr>
                <w:rFonts w:hint="eastAsia" w:ascii="宋体" w:hAnsi="宋体" w:cs="宋体"/>
                <w:color w:val="auto"/>
                <w:sz w:val="24"/>
                <w:highlight w:val="none"/>
              </w:rPr>
              <w:t>称</w:t>
            </w:r>
          </w:p>
        </w:tc>
        <w:tc>
          <w:tcPr>
            <w:tcW w:w="2706" w:type="dxa"/>
            <w:vMerge w:val="restart"/>
            <w:noWrap w:val="0"/>
            <w:vAlign w:val="center"/>
          </w:tcPr>
          <w:p w14:paraId="607BFD50">
            <w:pPr>
              <w:widowControl/>
              <w:jc w:val="center"/>
              <w:rPr>
                <w:rFonts w:ascii="宋体" w:hAnsi="宋体" w:cs="宋体"/>
                <w:color w:val="auto"/>
                <w:sz w:val="24"/>
                <w:highlight w:val="none"/>
              </w:rPr>
            </w:pPr>
            <w:r>
              <w:rPr>
                <w:rFonts w:hint="eastAsia" w:ascii="宋体" w:hAnsi="宋体" w:cs="宋体"/>
                <w:color w:val="auto"/>
                <w:sz w:val="24"/>
                <w:highlight w:val="none"/>
              </w:rPr>
              <w:t>服 务 内 容</w:t>
            </w:r>
          </w:p>
        </w:tc>
        <w:tc>
          <w:tcPr>
            <w:tcW w:w="803" w:type="dxa"/>
            <w:vMerge w:val="restart"/>
            <w:noWrap w:val="0"/>
            <w:vAlign w:val="center"/>
          </w:tcPr>
          <w:p w14:paraId="72466739">
            <w:pPr>
              <w:widowControl/>
              <w:jc w:val="center"/>
              <w:rPr>
                <w:rFonts w:ascii="宋体" w:hAnsi="宋体" w:cs="宋体"/>
                <w:color w:val="auto"/>
                <w:sz w:val="24"/>
                <w:highlight w:val="none"/>
              </w:rPr>
            </w:pPr>
            <w:r>
              <w:rPr>
                <w:rFonts w:hint="eastAsia" w:ascii="宋体" w:hAnsi="宋体" w:cs="宋体"/>
                <w:color w:val="auto"/>
                <w:sz w:val="24"/>
                <w:highlight w:val="none"/>
              </w:rPr>
              <w:t>单位</w:t>
            </w:r>
          </w:p>
        </w:tc>
        <w:tc>
          <w:tcPr>
            <w:tcW w:w="907" w:type="dxa"/>
            <w:vMerge w:val="restart"/>
            <w:noWrap w:val="0"/>
            <w:vAlign w:val="center"/>
          </w:tcPr>
          <w:p w14:paraId="5872C5DD">
            <w:pPr>
              <w:widowControl/>
              <w:jc w:val="center"/>
              <w:rPr>
                <w:rFonts w:ascii="宋体" w:hAnsi="宋体" w:cs="宋体"/>
                <w:color w:val="auto"/>
                <w:sz w:val="24"/>
                <w:highlight w:val="none"/>
              </w:rPr>
            </w:pPr>
            <w:r>
              <w:rPr>
                <w:rFonts w:hint="eastAsia" w:ascii="宋体" w:hAnsi="宋体" w:cs="宋体"/>
                <w:color w:val="auto"/>
                <w:sz w:val="24"/>
                <w:highlight w:val="none"/>
              </w:rPr>
              <w:t>数量</w:t>
            </w:r>
          </w:p>
        </w:tc>
        <w:tc>
          <w:tcPr>
            <w:tcW w:w="1908" w:type="dxa"/>
            <w:gridSpan w:val="2"/>
            <w:noWrap w:val="0"/>
            <w:vAlign w:val="center"/>
          </w:tcPr>
          <w:p w14:paraId="5242FBC3">
            <w:pPr>
              <w:widowControl/>
              <w:jc w:val="center"/>
              <w:rPr>
                <w:rFonts w:ascii="宋体" w:hAnsi="宋体" w:cs="宋体"/>
                <w:color w:val="auto"/>
                <w:sz w:val="24"/>
                <w:highlight w:val="none"/>
              </w:rPr>
            </w:pPr>
            <w:r>
              <w:rPr>
                <w:rFonts w:hint="eastAsia" w:ascii="宋体" w:hAnsi="宋体" w:cs="宋体"/>
                <w:color w:val="auto"/>
                <w:sz w:val="24"/>
                <w:highlight w:val="none"/>
              </w:rPr>
              <w:t>人民币价格</w:t>
            </w:r>
          </w:p>
        </w:tc>
      </w:tr>
      <w:tr w14:paraId="212AA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 w:hRule="atLeast"/>
          <w:jc w:val="center"/>
        </w:trPr>
        <w:tc>
          <w:tcPr>
            <w:tcW w:w="759" w:type="dxa"/>
            <w:vMerge w:val="continue"/>
            <w:noWrap w:val="0"/>
            <w:vAlign w:val="center"/>
          </w:tcPr>
          <w:p w14:paraId="47F067EA">
            <w:pPr>
              <w:widowControl/>
              <w:jc w:val="center"/>
              <w:rPr>
                <w:rFonts w:ascii="宋体" w:hAnsi="宋体" w:cs="宋体"/>
                <w:color w:val="auto"/>
                <w:sz w:val="24"/>
                <w:highlight w:val="none"/>
              </w:rPr>
            </w:pPr>
          </w:p>
        </w:tc>
        <w:tc>
          <w:tcPr>
            <w:tcW w:w="2292" w:type="dxa"/>
            <w:vMerge w:val="continue"/>
            <w:noWrap w:val="0"/>
            <w:vAlign w:val="center"/>
          </w:tcPr>
          <w:p w14:paraId="588B88DB">
            <w:pPr>
              <w:widowControl/>
              <w:jc w:val="center"/>
              <w:rPr>
                <w:rFonts w:ascii="宋体" w:hAnsi="宋体" w:cs="宋体"/>
                <w:color w:val="auto"/>
                <w:sz w:val="24"/>
                <w:highlight w:val="none"/>
              </w:rPr>
            </w:pPr>
          </w:p>
        </w:tc>
        <w:tc>
          <w:tcPr>
            <w:tcW w:w="2706" w:type="dxa"/>
            <w:vMerge w:val="continue"/>
            <w:noWrap w:val="0"/>
            <w:vAlign w:val="center"/>
          </w:tcPr>
          <w:p w14:paraId="25C5B1B1">
            <w:pPr>
              <w:widowControl/>
              <w:jc w:val="center"/>
              <w:rPr>
                <w:rFonts w:ascii="宋体" w:hAnsi="宋体" w:cs="宋体"/>
                <w:color w:val="auto"/>
                <w:sz w:val="24"/>
                <w:highlight w:val="none"/>
              </w:rPr>
            </w:pPr>
          </w:p>
        </w:tc>
        <w:tc>
          <w:tcPr>
            <w:tcW w:w="803" w:type="dxa"/>
            <w:vMerge w:val="continue"/>
            <w:noWrap w:val="0"/>
            <w:vAlign w:val="center"/>
          </w:tcPr>
          <w:p w14:paraId="1C3EFA2C">
            <w:pPr>
              <w:widowControl/>
              <w:jc w:val="center"/>
              <w:rPr>
                <w:rFonts w:ascii="宋体" w:hAnsi="宋体" w:cs="宋体"/>
                <w:color w:val="auto"/>
                <w:sz w:val="24"/>
                <w:highlight w:val="none"/>
              </w:rPr>
            </w:pPr>
          </w:p>
        </w:tc>
        <w:tc>
          <w:tcPr>
            <w:tcW w:w="907" w:type="dxa"/>
            <w:vMerge w:val="continue"/>
            <w:noWrap w:val="0"/>
            <w:vAlign w:val="center"/>
          </w:tcPr>
          <w:p w14:paraId="26716E7C">
            <w:pPr>
              <w:widowControl/>
              <w:jc w:val="center"/>
              <w:rPr>
                <w:rFonts w:ascii="宋体" w:hAnsi="宋体" w:cs="宋体"/>
                <w:color w:val="auto"/>
                <w:sz w:val="24"/>
                <w:highlight w:val="none"/>
              </w:rPr>
            </w:pPr>
          </w:p>
        </w:tc>
        <w:tc>
          <w:tcPr>
            <w:tcW w:w="971" w:type="dxa"/>
            <w:noWrap w:val="0"/>
            <w:vAlign w:val="center"/>
          </w:tcPr>
          <w:p w14:paraId="6C9B2A5A">
            <w:pPr>
              <w:widowControl/>
              <w:jc w:val="center"/>
              <w:rPr>
                <w:rFonts w:ascii="宋体" w:hAnsi="宋体" w:cs="宋体"/>
                <w:color w:val="auto"/>
                <w:sz w:val="24"/>
                <w:highlight w:val="none"/>
              </w:rPr>
            </w:pPr>
            <w:r>
              <w:rPr>
                <w:rFonts w:hint="eastAsia" w:ascii="宋体" w:hAnsi="宋体" w:cs="宋体"/>
                <w:color w:val="auto"/>
                <w:sz w:val="24"/>
                <w:highlight w:val="none"/>
              </w:rPr>
              <w:t>单价</w:t>
            </w:r>
          </w:p>
        </w:tc>
        <w:tc>
          <w:tcPr>
            <w:tcW w:w="937" w:type="dxa"/>
            <w:noWrap w:val="0"/>
            <w:vAlign w:val="center"/>
          </w:tcPr>
          <w:p w14:paraId="3F2FA842">
            <w:pPr>
              <w:widowControl/>
              <w:jc w:val="center"/>
              <w:rPr>
                <w:rFonts w:ascii="宋体" w:hAnsi="宋体" w:cs="宋体"/>
                <w:color w:val="auto"/>
                <w:sz w:val="24"/>
                <w:highlight w:val="none"/>
              </w:rPr>
            </w:pPr>
            <w:r>
              <w:rPr>
                <w:rFonts w:hint="eastAsia" w:ascii="宋体" w:hAnsi="宋体" w:cs="宋体"/>
                <w:color w:val="auto"/>
                <w:sz w:val="24"/>
                <w:highlight w:val="none"/>
              </w:rPr>
              <w:t>合价</w:t>
            </w:r>
          </w:p>
        </w:tc>
      </w:tr>
      <w:tr w14:paraId="45799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jc w:val="center"/>
        </w:trPr>
        <w:tc>
          <w:tcPr>
            <w:tcW w:w="759" w:type="dxa"/>
            <w:noWrap w:val="0"/>
            <w:vAlign w:val="center"/>
          </w:tcPr>
          <w:p w14:paraId="49C5D619">
            <w:pPr>
              <w:widowControl/>
              <w:spacing w:line="360" w:lineRule="auto"/>
              <w:jc w:val="center"/>
              <w:rPr>
                <w:rFonts w:ascii="宋体" w:hAnsi="宋体" w:cs="宋体"/>
                <w:color w:val="auto"/>
                <w:sz w:val="24"/>
                <w:highlight w:val="none"/>
              </w:rPr>
            </w:pPr>
          </w:p>
        </w:tc>
        <w:tc>
          <w:tcPr>
            <w:tcW w:w="2292" w:type="dxa"/>
            <w:noWrap w:val="0"/>
            <w:vAlign w:val="center"/>
          </w:tcPr>
          <w:p w14:paraId="1AD7D316">
            <w:pPr>
              <w:widowControl/>
              <w:spacing w:line="360" w:lineRule="auto"/>
              <w:jc w:val="center"/>
              <w:rPr>
                <w:rFonts w:ascii="宋体" w:hAnsi="宋体" w:cs="宋体"/>
                <w:color w:val="auto"/>
                <w:sz w:val="24"/>
                <w:highlight w:val="none"/>
              </w:rPr>
            </w:pPr>
          </w:p>
        </w:tc>
        <w:tc>
          <w:tcPr>
            <w:tcW w:w="2706" w:type="dxa"/>
            <w:noWrap w:val="0"/>
            <w:vAlign w:val="center"/>
          </w:tcPr>
          <w:p w14:paraId="278FBD68">
            <w:pPr>
              <w:widowControl/>
              <w:spacing w:line="360" w:lineRule="auto"/>
              <w:jc w:val="center"/>
              <w:rPr>
                <w:rFonts w:ascii="宋体" w:hAnsi="宋体" w:cs="宋体"/>
                <w:color w:val="auto"/>
                <w:sz w:val="24"/>
                <w:highlight w:val="none"/>
              </w:rPr>
            </w:pPr>
          </w:p>
        </w:tc>
        <w:tc>
          <w:tcPr>
            <w:tcW w:w="803" w:type="dxa"/>
            <w:noWrap w:val="0"/>
            <w:vAlign w:val="center"/>
          </w:tcPr>
          <w:p w14:paraId="55CB6E29">
            <w:pPr>
              <w:widowControl/>
              <w:spacing w:line="360" w:lineRule="auto"/>
              <w:jc w:val="center"/>
              <w:rPr>
                <w:rFonts w:ascii="宋体" w:hAnsi="宋体" w:cs="宋体"/>
                <w:color w:val="auto"/>
                <w:sz w:val="24"/>
                <w:highlight w:val="none"/>
              </w:rPr>
            </w:pPr>
          </w:p>
        </w:tc>
        <w:tc>
          <w:tcPr>
            <w:tcW w:w="907" w:type="dxa"/>
            <w:noWrap w:val="0"/>
            <w:vAlign w:val="center"/>
          </w:tcPr>
          <w:p w14:paraId="2A9E2060">
            <w:pPr>
              <w:widowControl/>
              <w:spacing w:line="360" w:lineRule="auto"/>
              <w:jc w:val="center"/>
              <w:rPr>
                <w:rFonts w:ascii="宋体" w:hAnsi="宋体" w:cs="宋体"/>
                <w:color w:val="auto"/>
                <w:sz w:val="24"/>
                <w:highlight w:val="none"/>
              </w:rPr>
            </w:pPr>
          </w:p>
        </w:tc>
        <w:tc>
          <w:tcPr>
            <w:tcW w:w="971" w:type="dxa"/>
            <w:noWrap w:val="0"/>
            <w:vAlign w:val="center"/>
          </w:tcPr>
          <w:p w14:paraId="2B55B79C">
            <w:pPr>
              <w:widowControl/>
              <w:spacing w:line="360" w:lineRule="auto"/>
              <w:jc w:val="center"/>
              <w:rPr>
                <w:rFonts w:ascii="宋体" w:hAnsi="宋体" w:cs="宋体"/>
                <w:color w:val="auto"/>
                <w:sz w:val="24"/>
                <w:highlight w:val="none"/>
              </w:rPr>
            </w:pPr>
          </w:p>
        </w:tc>
        <w:tc>
          <w:tcPr>
            <w:tcW w:w="937" w:type="dxa"/>
            <w:noWrap w:val="0"/>
            <w:vAlign w:val="center"/>
          </w:tcPr>
          <w:p w14:paraId="4859528E">
            <w:pPr>
              <w:widowControl/>
              <w:spacing w:line="360" w:lineRule="auto"/>
              <w:jc w:val="center"/>
              <w:rPr>
                <w:rFonts w:ascii="宋体" w:hAnsi="宋体" w:cs="宋体"/>
                <w:color w:val="auto"/>
                <w:sz w:val="24"/>
                <w:highlight w:val="none"/>
              </w:rPr>
            </w:pPr>
          </w:p>
        </w:tc>
      </w:tr>
      <w:tr w14:paraId="28661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jc w:val="center"/>
        </w:trPr>
        <w:tc>
          <w:tcPr>
            <w:tcW w:w="759" w:type="dxa"/>
            <w:noWrap w:val="0"/>
            <w:vAlign w:val="center"/>
          </w:tcPr>
          <w:p w14:paraId="0BC10F7E">
            <w:pPr>
              <w:widowControl/>
              <w:spacing w:line="360" w:lineRule="auto"/>
              <w:jc w:val="center"/>
              <w:rPr>
                <w:rFonts w:ascii="宋体" w:hAnsi="宋体" w:cs="宋体"/>
                <w:color w:val="auto"/>
                <w:sz w:val="24"/>
                <w:highlight w:val="none"/>
              </w:rPr>
            </w:pPr>
          </w:p>
        </w:tc>
        <w:tc>
          <w:tcPr>
            <w:tcW w:w="2292" w:type="dxa"/>
            <w:noWrap w:val="0"/>
            <w:vAlign w:val="center"/>
          </w:tcPr>
          <w:p w14:paraId="17FE3413">
            <w:pPr>
              <w:widowControl/>
              <w:spacing w:line="360" w:lineRule="auto"/>
              <w:jc w:val="center"/>
              <w:rPr>
                <w:rFonts w:ascii="宋体" w:hAnsi="宋体" w:cs="宋体"/>
                <w:color w:val="auto"/>
                <w:sz w:val="24"/>
                <w:highlight w:val="none"/>
              </w:rPr>
            </w:pPr>
          </w:p>
        </w:tc>
        <w:tc>
          <w:tcPr>
            <w:tcW w:w="2706" w:type="dxa"/>
            <w:noWrap w:val="0"/>
            <w:vAlign w:val="center"/>
          </w:tcPr>
          <w:p w14:paraId="25F9CF61">
            <w:pPr>
              <w:widowControl/>
              <w:spacing w:line="360" w:lineRule="auto"/>
              <w:jc w:val="center"/>
              <w:rPr>
                <w:rFonts w:ascii="宋体" w:hAnsi="宋体" w:cs="宋体"/>
                <w:color w:val="auto"/>
                <w:sz w:val="24"/>
                <w:highlight w:val="none"/>
              </w:rPr>
            </w:pPr>
          </w:p>
        </w:tc>
        <w:tc>
          <w:tcPr>
            <w:tcW w:w="803" w:type="dxa"/>
            <w:noWrap w:val="0"/>
            <w:vAlign w:val="center"/>
          </w:tcPr>
          <w:p w14:paraId="4604DCA6">
            <w:pPr>
              <w:widowControl/>
              <w:spacing w:line="360" w:lineRule="auto"/>
              <w:jc w:val="center"/>
              <w:rPr>
                <w:rFonts w:ascii="宋体" w:hAnsi="宋体" w:cs="宋体"/>
                <w:color w:val="auto"/>
                <w:sz w:val="24"/>
                <w:highlight w:val="none"/>
              </w:rPr>
            </w:pPr>
          </w:p>
        </w:tc>
        <w:tc>
          <w:tcPr>
            <w:tcW w:w="907" w:type="dxa"/>
            <w:noWrap w:val="0"/>
            <w:vAlign w:val="center"/>
          </w:tcPr>
          <w:p w14:paraId="27E9D8B6">
            <w:pPr>
              <w:widowControl/>
              <w:spacing w:line="360" w:lineRule="auto"/>
              <w:jc w:val="center"/>
              <w:rPr>
                <w:rFonts w:ascii="宋体" w:hAnsi="宋体" w:cs="宋体"/>
                <w:color w:val="auto"/>
                <w:sz w:val="24"/>
                <w:highlight w:val="none"/>
              </w:rPr>
            </w:pPr>
          </w:p>
        </w:tc>
        <w:tc>
          <w:tcPr>
            <w:tcW w:w="971" w:type="dxa"/>
            <w:noWrap w:val="0"/>
            <w:vAlign w:val="center"/>
          </w:tcPr>
          <w:p w14:paraId="277104EA">
            <w:pPr>
              <w:widowControl/>
              <w:spacing w:line="360" w:lineRule="auto"/>
              <w:jc w:val="center"/>
              <w:rPr>
                <w:rFonts w:ascii="宋体" w:hAnsi="宋体" w:cs="宋体"/>
                <w:color w:val="auto"/>
                <w:sz w:val="24"/>
                <w:highlight w:val="none"/>
              </w:rPr>
            </w:pPr>
          </w:p>
        </w:tc>
        <w:tc>
          <w:tcPr>
            <w:tcW w:w="937" w:type="dxa"/>
            <w:noWrap w:val="0"/>
            <w:vAlign w:val="center"/>
          </w:tcPr>
          <w:p w14:paraId="14884A90">
            <w:pPr>
              <w:widowControl/>
              <w:spacing w:line="360" w:lineRule="auto"/>
              <w:jc w:val="center"/>
              <w:rPr>
                <w:rFonts w:ascii="宋体" w:hAnsi="宋体" w:cs="宋体"/>
                <w:color w:val="auto"/>
                <w:sz w:val="24"/>
                <w:highlight w:val="none"/>
              </w:rPr>
            </w:pPr>
          </w:p>
        </w:tc>
      </w:tr>
      <w:tr w14:paraId="1F9052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jc w:val="center"/>
        </w:trPr>
        <w:tc>
          <w:tcPr>
            <w:tcW w:w="759" w:type="dxa"/>
            <w:noWrap w:val="0"/>
            <w:vAlign w:val="center"/>
          </w:tcPr>
          <w:p w14:paraId="6F75897D">
            <w:pPr>
              <w:widowControl/>
              <w:spacing w:line="360" w:lineRule="auto"/>
              <w:jc w:val="center"/>
              <w:rPr>
                <w:rFonts w:ascii="宋体" w:hAnsi="宋体" w:cs="宋体"/>
                <w:color w:val="auto"/>
                <w:sz w:val="24"/>
                <w:highlight w:val="none"/>
              </w:rPr>
            </w:pPr>
          </w:p>
        </w:tc>
        <w:tc>
          <w:tcPr>
            <w:tcW w:w="2292" w:type="dxa"/>
            <w:noWrap w:val="0"/>
            <w:vAlign w:val="center"/>
          </w:tcPr>
          <w:p w14:paraId="5A4A5BDD">
            <w:pPr>
              <w:widowControl/>
              <w:spacing w:line="360" w:lineRule="auto"/>
              <w:jc w:val="center"/>
              <w:rPr>
                <w:rFonts w:ascii="宋体" w:hAnsi="宋体" w:cs="宋体"/>
                <w:color w:val="auto"/>
                <w:sz w:val="24"/>
                <w:highlight w:val="none"/>
              </w:rPr>
            </w:pPr>
          </w:p>
        </w:tc>
        <w:tc>
          <w:tcPr>
            <w:tcW w:w="2706" w:type="dxa"/>
            <w:noWrap w:val="0"/>
            <w:vAlign w:val="center"/>
          </w:tcPr>
          <w:p w14:paraId="0BAA65E8">
            <w:pPr>
              <w:widowControl/>
              <w:spacing w:line="360" w:lineRule="auto"/>
              <w:jc w:val="center"/>
              <w:rPr>
                <w:rFonts w:ascii="宋体" w:hAnsi="宋体" w:cs="宋体"/>
                <w:color w:val="auto"/>
                <w:sz w:val="24"/>
                <w:highlight w:val="none"/>
              </w:rPr>
            </w:pPr>
          </w:p>
        </w:tc>
        <w:tc>
          <w:tcPr>
            <w:tcW w:w="803" w:type="dxa"/>
            <w:noWrap w:val="0"/>
            <w:vAlign w:val="center"/>
          </w:tcPr>
          <w:p w14:paraId="39F562DF">
            <w:pPr>
              <w:widowControl/>
              <w:spacing w:line="360" w:lineRule="auto"/>
              <w:jc w:val="center"/>
              <w:rPr>
                <w:rFonts w:ascii="宋体" w:hAnsi="宋体" w:cs="宋体"/>
                <w:color w:val="auto"/>
                <w:sz w:val="24"/>
                <w:highlight w:val="none"/>
              </w:rPr>
            </w:pPr>
          </w:p>
        </w:tc>
        <w:tc>
          <w:tcPr>
            <w:tcW w:w="907" w:type="dxa"/>
            <w:noWrap w:val="0"/>
            <w:vAlign w:val="center"/>
          </w:tcPr>
          <w:p w14:paraId="565F0AAD">
            <w:pPr>
              <w:widowControl/>
              <w:spacing w:line="360" w:lineRule="auto"/>
              <w:jc w:val="center"/>
              <w:rPr>
                <w:rFonts w:ascii="宋体" w:hAnsi="宋体" w:cs="宋体"/>
                <w:color w:val="auto"/>
                <w:sz w:val="24"/>
                <w:highlight w:val="none"/>
              </w:rPr>
            </w:pPr>
          </w:p>
        </w:tc>
        <w:tc>
          <w:tcPr>
            <w:tcW w:w="971" w:type="dxa"/>
            <w:noWrap w:val="0"/>
            <w:vAlign w:val="center"/>
          </w:tcPr>
          <w:p w14:paraId="1C6715B8">
            <w:pPr>
              <w:widowControl/>
              <w:spacing w:line="360" w:lineRule="auto"/>
              <w:jc w:val="center"/>
              <w:rPr>
                <w:rFonts w:ascii="宋体" w:hAnsi="宋体" w:cs="宋体"/>
                <w:color w:val="auto"/>
                <w:sz w:val="24"/>
                <w:highlight w:val="none"/>
              </w:rPr>
            </w:pPr>
          </w:p>
        </w:tc>
        <w:tc>
          <w:tcPr>
            <w:tcW w:w="937" w:type="dxa"/>
            <w:noWrap w:val="0"/>
            <w:vAlign w:val="center"/>
          </w:tcPr>
          <w:p w14:paraId="58269BE1">
            <w:pPr>
              <w:widowControl/>
              <w:spacing w:line="360" w:lineRule="auto"/>
              <w:jc w:val="center"/>
              <w:rPr>
                <w:rFonts w:ascii="宋体" w:hAnsi="宋体" w:cs="宋体"/>
                <w:color w:val="auto"/>
                <w:sz w:val="24"/>
                <w:highlight w:val="none"/>
              </w:rPr>
            </w:pPr>
          </w:p>
        </w:tc>
      </w:tr>
      <w:tr w14:paraId="1EB19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jc w:val="center"/>
        </w:trPr>
        <w:tc>
          <w:tcPr>
            <w:tcW w:w="759" w:type="dxa"/>
            <w:noWrap w:val="0"/>
            <w:vAlign w:val="center"/>
          </w:tcPr>
          <w:p w14:paraId="1625604D">
            <w:pPr>
              <w:widowControl/>
              <w:spacing w:line="360" w:lineRule="auto"/>
              <w:jc w:val="center"/>
              <w:rPr>
                <w:rFonts w:ascii="宋体" w:hAnsi="宋体" w:cs="宋体"/>
                <w:color w:val="auto"/>
                <w:sz w:val="24"/>
                <w:highlight w:val="none"/>
              </w:rPr>
            </w:pPr>
          </w:p>
        </w:tc>
        <w:tc>
          <w:tcPr>
            <w:tcW w:w="2292" w:type="dxa"/>
            <w:noWrap w:val="0"/>
            <w:vAlign w:val="center"/>
          </w:tcPr>
          <w:p w14:paraId="46AA4784">
            <w:pPr>
              <w:widowControl/>
              <w:spacing w:line="360" w:lineRule="auto"/>
              <w:jc w:val="center"/>
              <w:rPr>
                <w:rFonts w:ascii="宋体" w:hAnsi="宋体" w:cs="宋体"/>
                <w:color w:val="auto"/>
                <w:sz w:val="24"/>
                <w:highlight w:val="none"/>
              </w:rPr>
            </w:pPr>
          </w:p>
        </w:tc>
        <w:tc>
          <w:tcPr>
            <w:tcW w:w="2706" w:type="dxa"/>
            <w:noWrap w:val="0"/>
            <w:vAlign w:val="center"/>
          </w:tcPr>
          <w:p w14:paraId="78C4F90D">
            <w:pPr>
              <w:widowControl/>
              <w:spacing w:line="360" w:lineRule="auto"/>
              <w:jc w:val="center"/>
              <w:rPr>
                <w:rFonts w:ascii="宋体" w:hAnsi="宋体" w:cs="宋体"/>
                <w:color w:val="auto"/>
                <w:sz w:val="24"/>
                <w:highlight w:val="none"/>
              </w:rPr>
            </w:pPr>
          </w:p>
        </w:tc>
        <w:tc>
          <w:tcPr>
            <w:tcW w:w="803" w:type="dxa"/>
            <w:noWrap w:val="0"/>
            <w:vAlign w:val="center"/>
          </w:tcPr>
          <w:p w14:paraId="44FD61E5">
            <w:pPr>
              <w:widowControl/>
              <w:spacing w:line="360" w:lineRule="auto"/>
              <w:jc w:val="center"/>
              <w:rPr>
                <w:rFonts w:ascii="宋体" w:hAnsi="宋体" w:cs="宋体"/>
                <w:color w:val="auto"/>
                <w:sz w:val="24"/>
                <w:highlight w:val="none"/>
              </w:rPr>
            </w:pPr>
          </w:p>
        </w:tc>
        <w:tc>
          <w:tcPr>
            <w:tcW w:w="907" w:type="dxa"/>
            <w:noWrap w:val="0"/>
            <w:vAlign w:val="center"/>
          </w:tcPr>
          <w:p w14:paraId="312348C1">
            <w:pPr>
              <w:widowControl/>
              <w:spacing w:line="360" w:lineRule="auto"/>
              <w:jc w:val="center"/>
              <w:rPr>
                <w:rFonts w:ascii="宋体" w:hAnsi="宋体" w:cs="宋体"/>
                <w:color w:val="auto"/>
                <w:sz w:val="24"/>
                <w:highlight w:val="none"/>
              </w:rPr>
            </w:pPr>
          </w:p>
        </w:tc>
        <w:tc>
          <w:tcPr>
            <w:tcW w:w="971" w:type="dxa"/>
            <w:noWrap w:val="0"/>
            <w:vAlign w:val="center"/>
          </w:tcPr>
          <w:p w14:paraId="07D38BBA">
            <w:pPr>
              <w:widowControl/>
              <w:spacing w:line="360" w:lineRule="auto"/>
              <w:jc w:val="center"/>
              <w:rPr>
                <w:rFonts w:ascii="宋体" w:hAnsi="宋体" w:cs="宋体"/>
                <w:color w:val="auto"/>
                <w:sz w:val="24"/>
                <w:highlight w:val="none"/>
              </w:rPr>
            </w:pPr>
          </w:p>
        </w:tc>
        <w:tc>
          <w:tcPr>
            <w:tcW w:w="937" w:type="dxa"/>
            <w:noWrap w:val="0"/>
            <w:vAlign w:val="center"/>
          </w:tcPr>
          <w:p w14:paraId="7492191E">
            <w:pPr>
              <w:widowControl/>
              <w:spacing w:line="360" w:lineRule="auto"/>
              <w:jc w:val="center"/>
              <w:rPr>
                <w:rFonts w:ascii="宋体" w:hAnsi="宋体" w:cs="宋体"/>
                <w:color w:val="auto"/>
                <w:sz w:val="24"/>
                <w:highlight w:val="none"/>
              </w:rPr>
            </w:pPr>
          </w:p>
        </w:tc>
      </w:tr>
      <w:tr w14:paraId="4223E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jc w:val="center"/>
        </w:trPr>
        <w:tc>
          <w:tcPr>
            <w:tcW w:w="759" w:type="dxa"/>
            <w:noWrap w:val="0"/>
            <w:vAlign w:val="center"/>
          </w:tcPr>
          <w:p w14:paraId="45ABA0A2">
            <w:pPr>
              <w:widowControl/>
              <w:spacing w:line="360" w:lineRule="auto"/>
              <w:jc w:val="center"/>
              <w:rPr>
                <w:rFonts w:ascii="宋体" w:hAnsi="宋体" w:cs="宋体"/>
                <w:color w:val="auto"/>
                <w:sz w:val="24"/>
                <w:highlight w:val="none"/>
              </w:rPr>
            </w:pPr>
          </w:p>
        </w:tc>
        <w:tc>
          <w:tcPr>
            <w:tcW w:w="2292" w:type="dxa"/>
            <w:noWrap w:val="0"/>
            <w:vAlign w:val="center"/>
          </w:tcPr>
          <w:p w14:paraId="7E067ADB">
            <w:pPr>
              <w:widowControl/>
              <w:spacing w:line="360" w:lineRule="auto"/>
              <w:jc w:val="center"/>
              <w:rPr>
                <w:rFonts w:ascii="宋体" w:hAnsi="宋体" w:cs="宋体"/>
                <w:color w:val="auto"/>
                <w:sz w:val="24"/>
                <w:highlight w:val="none"/>
              </w:rPr>
            </w:pPr>
          </w:p>
        </w:tc>
        <w:tc>
          <w:tcPr>
            <w:tcW w:w="2706" w:type="dxa"/>
            <w:noWrap w:val="0"/>
            <w:vAlign w:val="center"/>
          </w:tcPr>
          <w:p w14:paraId="139699B0">
            <w:pPr>
              <w:widowControl/>
              <w:spacing w:line="360" w:lineRule="auto"/>
              <w:jc w:val="center"/>
              <w:rPr>
                <w:rFonts w:ascii="宋体" w:hAnsi="宋体" w:cs="宋体"/>
                <w:color w:val="auto"/>
                <w:sz w:val="24"/>
                <w:highlight w:val="none"/>
              </w:rPr>
            </w:pPr>
          </w:p>
        </w:tc>
        <w:tc>
          <w:tcPr>
            <w:tcW w:w="803" w:type="dxa"/>
            <w:noWrap w:val="0"/>
            <w:vAlign w:val="center"/>
          </w:tcPr>
          <w:p w14:paraId="629E06DA">
            <w:pPr>
              <w:widowControl/>
              <w:spacing w:line="360" w:lineRule="auto"/>
              <w:jc w:val="center"/>
              <w:rPr>
                <w:rFonts w:ascii="宋体" w:hAnsi="宋体" w:cs="宋体"/>
                <w:color w:val="auto"/>
                <w:sz w:val="24"/>
                <w:highlight w:val="none"/>
              </w:rPr>
            </w:pPr>
          </w:p>
        </w:tc>
        <w:tc>
          <w:tcPr>
            <w:tcW w:w="907" w:type="dxa"/>
            <w:noWrap w:val="0"/>
            <w:vAlign w:val="center"/>
          </w:tcPr>
          <w:p w14:paraId="690AA9B6">
            <w:pPr>
              <w:widowControl/>
              <w:spacing w:line="360" w:lineRule="auto"/>
              <w:jc w:val="center"/>
              <w:rPr>
                <w:rFonts w:ascii="宋体" w:hAnsi="宋体" w:cs="宋体"/>
                <w:color w:val="auto"/>
                <w:sz w:val="24"/>
                <w:highlight w:val="none"/>
              </w:rPr>
            </w:pPr>
          </w:p>
        </w:tc>
        <w:tc>
          <w:tcPr>
            <w:tcW w:w="971" w:type="dxa"/>
            <w:noWrap w:val="0"/>
            <w:vAlign w:val="center"/>
          </w:tcPr>
          <w:p w14:paraId="38D9C95C">
            <w:pPr>
              <w:widowControl/>
              <w:spacing w:line="360" w:lineRule="auto"/>
              <w:jc w:val="center"/>
              <w:rPr>
                <w:rFonts w:ascii="宋体" w:hAnsi="宋体" w:cs="宋体"/>
                <w:color w:val="auto"/>
                <w:sz w:val="24"/>
                <w:highlight w:val="none"/>
              </w:rPr>
            </w:pPr>
          </w:p>
        </w:tc>
        <w:tc>
          <w:tcPr>
            <w:tcW w:w="937" w:type="dxa"/>
            <w:noWrap w:val="0"/>
            <w:vAlign w:val="center"/>
          </w:tcPr>
          <w:p w14:paraId="413DBFE7">
            <w:pPr>
              <w:widowControl/>
              <w:spacing w:line="360" w:lineRule="auto"/>
              <w:jc w:val="center"/>
              <w:rPr>
                <w:rFonts w:ascii="宋体" w:hAnsi="宋体" w:cs="宋体"/>
                <w:color w:val="auto"/>
                <w:sz w:val="24"/>
                <w:highlight w:val="none"/>
              </w:rPr>
            </w:pPr>
          </w:p>
        </w:tc>
      </w:tr>
      <w:tr w14:paraId="09058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jc w:val="center"/>
        </w:trPr>
        <w:tc>
          <w:tcPr>
            <w:tcW w:w="759" w:type="dxa"/>
            <w:noWrap w:val="0"/>
            <w:vAlign w:val="center"/>
          </w:tcPr>
          <w:p w14:paraId="234F2F78">
            <w:pPr>
              <w:widowControl/>
              <w:spacing w:line="360" w:lineRule="auto"/>
              <w:jc w:val="center"/>
              <w:rPr>
                <w:rFonts w:ascii="宋体" w:hAnsi="宋体" w:cs="宋体"/>
                <w:color w:val="auto"/>
                <w:sz w:val="24"/>
                <w:highlight w:val="none"/>
              </w:rPr>
            </w:pPr>
          </w:p>
        </w:tc>
        <w:tc>
          <w:tcPr>
            <w:tcW w:w="2292" w:type="dxa"/>
            <w:noWrap w:val="0"/>
            <w:vAlign w:val="center"/>
          </w:tcPr>
          <w:p w14:paraId="661DB8A0">
            <w:pPr>
              <w:widowControl/>
              <w:spacing w:line="360" w:lineRule="auto"/>
              <w:jc w:val="center"/>
              <w:rPr>
                <w:rFonts w:ascii="宋体" w:hAnsi="宋体" w:cs="宋体"/>
                <w:color w:val="auto"/>
                <w:sz w:val="24"/>
                <w:highlight w:val="none"/>
              </w:rPr>
            </w:pPr>
          </w:p>
        </w:tc>
        <w:tc>
          <w:tcPr>
            <w:tcW w:w="2706" w:type="dxa"/>
            <w:noWrap w:val="0"/>
            <w:vAlign w:val="center"/>
          </w:tcPr>
          <w:p w14:paraId="5D6CA833">
            <w:pPr>
              <w:widowControl/>
              <w:spacing w:line="360" w:lineRule="auto"/>
              <w:jc w:val="center"/>
              <w:rPr>
                <w:rFonts w:ascii="宋体" w:hAnsi="宋体" w:cs="宋体"/>
                <w:color w:val="auto"/>
                <w:sz w:val="24"/>
                <w:highlight w:val="none"/>
              </w:rPr>
            </w:pPr>
          </w:p>
        </w:tc>
        <w:tc>
          <w:tcPr>
            <w:tcW w:w="803" w:type="dxa"/>
            <w:noWrap w:val="0"/>
            <w:vAlign w:val="center"/>
          </w:tcPr>
          <w:p w14:paraId="4D700E52">
            <w:pPr>
              <w:widowControl/>
              <w:spacing w:line="360" w:lineRule="auto"/>
              <w:jc w:val="center"/>
              <w:rPr>
                <w:rFonts w:ascii="宋体" w:hAnsi="宋体" w:cs="宋体"/>
                <w:color w:val="auto"/>
                <w:sz w:val="24"/>
                <w:highlight w:val="none"/>
              </w:rPr>
            </w:pPr>
          </w:p>
        </w:tc>
        <w:tc>
          <w:tcPr>
            <w:tcW w:w="907" w:type="dxa"/>
            <w:noWrap w:val="0"/>
            <w:vAlign w:val="center"/>
          </w:tcPr>
          <w:p w14:paraId="511D5DA2">
            <w:pPr>
              <w:widowControl/>
              <w:spacing w:line="360" w:lineRule="auto"/>
              <w:jc w:val="center"/>
              <w:rPr>
                <w:rFonts w:ascii="宋体" w:hAnsi="宋体" w:cs="宋体"/>
                <w:color w:val="auto"/>
                <w:sz w:val="24"/>
                <w:highlight w:val="none"/>
              </w:rPr>
            </w:pPr>
          </w:p>
        </w:tc>
        <w:tc>
          <w:tcPr>
            <w:tcW w:w="971" w:type="dxa"/>
            <w:noWrap w:val="0"/>
            <w:vAlign w:val="center"/>
          </w:tcPr>
          <w:p w14:paraId="37D50D4F">
            <w:pPr>
              <w:widowControl/>
              <w:spacing w:line="360" w:lineRule="auto"/>
              <w:jc w:val="center"/>
              <w:rPr>
                <w:rFonts w:ascii="宋体" w:hAnsi="宋体" w:cs="宋体"/>
                <w:color w:val="auto"/>
                <w:sz w:val="24"/>
                <w:highlight w:val="none"/>
              </w:rPr>
            </w:pPr>
          </w:p>
        </w:tc>
        <w:tc>
          <w:tcPr>
            <w:tcW w:w="937" w:type="dxa"/>
            <w:noWrap w:val="0"/>
            <w:vAlign w:val="center"/>
          </w:tcPr>
          <w:p w14:paraId="0A207532">
            <w:pPr>
              <w:widowControl/>
              <w:spacing w:line="360" w:lineRule="auto"/>
              <w:jc w:val="center"/>
              <w:rPr>
                <w:rFonts w:ascii="宋体" w:hAnsi="宋体" w:cs="宋体"/>
                <w:color w:val="auto"/>
                <w:sz w:val="24"/>
                <w:highlight w:val="none"/>
              </w:rPr>
            </w:pPr>
          </w:p>
        </w:tc>
      </w:tr>
      <w:tr w14:paraId="73E90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jc w:val="center"/>
        </w:trPr>
        <w:tc>
          <w:tcPr>
            <w:tcW w:w="759" w:type="dxa"/>
            <w:noWrap w:val="0"/>
            <w:vAlign w:val="center"/>
          </w:tcPr>
          <w:p w14:paraId="53A9E000">
            <w:pPr>
              <w:widowControl/>
              <w:spacing w:line="360" w:lineRule="auto"/>
              <w:jc w:val="center"/>
              <w:rPr>
                <w:rFonts w:ascii="宋体" w:hAnsi="宋体" w:cs="宋体"/>
                <w:color w:val="auto"/>
                <w:sz w:val="24"/>
                <w:highlight w:val="none"/>
              </w:rPr>
            </w:pPr>
          </w:p>
        </w:tc>
        <w:tc>
          <w:tcPr>
            <w:tcW w:w="2292" w:type="dxa"/>
            <w:noWrap w:val="0"/>
            <w:vAlign w:val="center"/>
          </w:tcPr>
          <w:p w14:paraId="4A5C65B5">
            <w:pPr>
              <w:widowControl/>
              <w:spacing w:line="360" w:lineRule="auto"/>
              <w:jc w:val="center"/>
              <w:rPr>
                <w:rFonts w:ascii="宋体" w:hAnsi="宋体" w:cs="宋体"/>
                <w:color w:val="auto"/>
                <w:sz w:val="24"/>
                <w:highlight w:val="none"/>
              </w:rPr>
            </w:pPr>
          </w:p>
        </w:tc>
        <w:tc>
          <w:tcPr>
            <w:tcW w:w="2706" w:type="dxa"/>
            <w:noWrap w:val="0"/>
            <w:vAlign w:val="center"/>
          </w:tcPr>
          <w:p w14:paraId="58FEE199">
            <w:pPr>
              <w:widowControl/>
              <w:spacing w:line="360" w:lineRule="auto"/>
              <w:jc w:val="center"/>
              <w:rPr>
                <w:rFonts w:ascii="宋体" w:hAnsi="宋体" w:cs="宋体"/>
                <w:color w:val="auto"/>
                <w:sz w:val="24"/>
                <w:highlight w:val="none"/>
              </w:rPr>
            </w:pPr>
          </w:p>
        </w:tc>
        <w:tc>
          <w:tcPr>
            <w:tcW w:w="803" w:type="dxa"/>
            <w:noWrap w:val="0"/>
            <w:vAlign w:val="center"/>
          </w:tcPr>
          <w:p w14:paraId="372A4EE9">
            <w:pPr>
              <w:widowControl/>
              <w:spacing w:line="360" w:lineRule="auto"/>
              <w:jc w:val="center"/>
              <w:rPr>
                <w:rFonts w:ascii="宋体" w:hAnsi="宋体" w:cs="宋体"/>
                <w:color w:val="auto"/>
                <w:sz w:val="24"/>
                <w:highlight w:val="none"/>
              </w:rPr>
            </w:pPr>
          </w:p>
        </w:tc>
        <w:tc>
          <w:tcPr>
            <w:tcW w:w="907" w:type="dxa"/>
            <w:noWrap w:val="0"/>
            <w:vAlign w:val="center"/>
          </w:tcPr>
          <w:p w14:paraId="460BBABA">
            <w:pPr>
              <w:widowControl/>
              <w:spacing w:line="360" w:lineRule="auto"/>
              <w:jc w:val="center"/>
              <w:rPr>
                <w:rFonts w:ascii="宋体" w:hAnsi="宋体" w:cs="宋体"/>
                <w:color w:val="auto"/>
                <w:sz w:val="24"/>
                <w:highlight w:val="none"/>
              </w:rPr>
            </w:pPr>
          </w:p>
        </w:tc>
        <w:tc>
          <w:tcPr>
            <w:tcW w:w="971" w:type="dxa"/>
            <w:noWrap w:val="0"/>
            <w:vAlign w:val="center"/>
          </w:tcPr>
          <w:p w14:paraId="2AB3CB43">
            <w:pPr>
              <w:widowControl/>
              <w:spacing w:line="360" w:lineRule="auto"/>
              <w:jc w:val="center"/>
              <w:rPr>
                <w:rFonts w:ascii="宋体" w:hAnsi="宋体" w:cs="宋体"/>
                <w:color w:val="auto"/>
                <w:sz w:val="24"/>
                <w:highlight w:val="none"/>
              </w:rPr>
            </w:pPr>
          </w:p>
        </w:tc>
        <w:tc>
          <w:tcPr>
            <w:tcW w:w="937" w:type="dxa"/>
            <w:noWrap w:val="0"/>
            <w:vAlign w:val="center"/>
          </w:tcPr>
          <w:p w14:paraId="5280F370">
            <w:pPr>
              <w:widowControl/>
              <w:spacing w:line="360" w:lineRule="auto"/>
              <w:jc w:val="center"/>
              <w:rPr>
                <w:rFonts w:ascii="宋体" w:hAnsi="宋体" w:cs="宋体"/>
                <w:color w:val="auto"/>
                <w:sz w:val="24"/>
                <w:highlight w:val="none"/>
              </w:rPr>
            </w:pPr>
          </w:p>
        </w:tc>
      </w:tr>
      <w:tr w14:paraId="73A89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jc w:val="center"/>
        </w:trPr>
        <w:tc>
          <w:tcPr>
            <w:tcW w:w="759" w:type="dxa"/>
            <w:noWrap w:val="0"/>
            <w:vAlign w:val="center"/>
          </w:tcPr>
          <w:p w14:paraId="2629BA2E">
            <w:pPr>
              <w:widowControl/>
              <w:spacing w:line="360" w:lineRule="auto"/>
              <w:jc w:val="center"/>
              <w:rPr>
                <w:rFonts w:ascii="宋体" w:hAnsi="宋体" w:cs="宋体"/>
                <w:color w:val="auto"/>
                <w:sz w:val="24"/>
                <w:highlight w:val="none"/>
              </w:rPr>
            </w:pPr>
          </w:p>
        </w:tc>
        <w:tc>
          <w:tcPr>
            <w:tcW w:w="2292" w:type="dxa"/>
            <w:noWrap w:val="0"/>
            <w:vAlign w:val="center"/>
          </w:tcPr>
          <w:p w14:paraId="4EC898CB">
            <w:pPr>
              <w:widowControl/>
              <w:spacing w:line="360" w:lineRule="auto"/>
              <w:jc w:val="center"/>
              <w:rPr>
                <w:rFonts w:ascii="宋体" w:hAnsi="宋体" w:cs="宋体"/>
                <w:color w:val="auto"/>
                <w:sz w:val="24"/>
                <w:highlight w:val="none"/>
              </w:rPr>
            </w:pPr>
          </w:p>
        </w:tc>
        <w:tc>
          <w:tcPr>
            <w:tcW w:w="2706" w:type="dxa"/>
            <w:noWrap w:val="0"/>
            <w:vAlign w:val="center"/>
          </w:tcPr>
          <w:p w14:paraId="537113D7">
            <w:pPr>
              <w:widowControl/>
              <w:spacing w:line="360" w:lineRule="auto"/>
              <w:jc w:val="center"/>
              <w:rPr>
                <w:rFonts w:ascii="宋体" w:hAnsi="宋体" w:cs="宋体"/>
                <w:color w:val="auto"/>
                <w:sz w:val="24"/>
                <w:highlight w:val="none"/>
              </w:rPr>
            </w:pPr>
          </w:p>
        </w:tc>
        <w:tc>
          <w:tcPr>
            <w:tcW w:w="803" w:type="dxa"/>
            <w:noWrap w:val="0"/>
            <w:vAlign w:val="center"/>
          </w:tcPr>
          <w:p w14:paraId="54BBE72D">
            <w:pPr>
              <w:widowControl/>
              <w:spacing w:line="360" w:lineRule="auto"/>
              <w:jc w:val="center"/>
              <w:rPr>
                <w:rFonts w:ascii="宋体" w:hAnsi="宋体" w:cs="宋体"/>
                <w:color w:val="auto"/>
                <w:sz w:val="24"/>
                <w:highlight w:val="none"/>
              </w:rPr>
            </w:pPr>
          </w:p>
        </w:tc>
        <w:tc>
          <w:tcPr>
            <w:tcW w:w="907" w:type="dxa"/>
            <w:noWrap w:val="0"/>
            <w:vAlign w:val="center"/>
          </w:tcPr>
          <w:p w14:paraId="1A4F8E02">
            <w:pPr>
              <w:widowControl/>
              <w:spacing w:line="360" w:lineRule="auto"/>
              <w:jc w:val="center"/>
              <w:rPr>
                <w:rFonts w:ascii="宋体" w:hAnsi="宋体" w:cs="宋体"/>
                <w:color w:val="auto"/>
                <w:sz w:val="24"/>
                <w:highlight w:val="none"/>
              </w:rPr>
            </w:pPr>
          </w:p>
        </w:tc>
        <w:tc>
          <w:tcPr>
            <w:tcW w:w="971" w:type="dxa"/>
            <w:noWrap w:val="0"/>
            <w:vAlign w:val="center"/>
          </w:tcPr>
          <w:p w14:paraId="3BCF4E2A">
            <w:pPr>
              <w:widowControl/>
              <w:spacing w:line="360" w:lineRule="auto"/>
              <w:jc w:val="center"/>
              <w:rPr>
                <w:rFonts w:ascii="宋体" w:hAnsi="宋体" w:cs="宋体"/>
                <w:color w:val="auto"/>
                <w:sz w:val="24"/>
                <w:highlight w:val="none"/>
              </w:rPr>
            </w:pPr>
          </w:p>
        </w:tc>
        <w:tc>
          <w:tcPr>
            <w:tcW w:w="937" w:type="dxa"/>
            <w:noWrap w:val="0"/>
            <w:vAlign w:val="center"/>
          </w:tcPr>
          <w:p w14:paraId="04A878B5">
            <w:pPr>
              <w:widowControl/>
              <w:spacing w:line="360" w:lineRule="auto"/>
              <w:jc w:val="center"/>
              <w:rPr>
                <w:rFonts w:ascii="宋体" w:hAnsi="宋体" w:cs="宋体"/>
                <w:color w:val="auto"/>
                <w:sz w:val="24"/>
                <w:highlight w:val="none"/>
              </w:rPr>
            </w:pPr>
          </w:p>
        </w:tc>
      </w:tr>
      <w:tr w14:paraId="63501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7467" w:type="dxa"/>
            <w:gridSpan w:val="5"/>
            <w:noWrap w:val="0"/>
            <w:vAlign w:val="center"/>
          </w:tcPr>
          <w:p w14:paraId="2BD9874E">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合  计</w:t>
            </w:r>
          </w:p>
        </w:tc>
        <w:tc>
          <w:tcPr>
            <w:tcW w:w="1908" w:type="dxa"/>
            <w:gridSpan w:val="2"/>
            <w:noWrap w:val="0"/>
            <w:vAlign w:val="center"/>
          </w:tcPr>
          <w:p w14:paraId="49DF8DE4">
            <w:pPr>
              <w:widowControl/>
              <w:spacing w:line="360" w:lineRule="auto"/>
              <w:rPr>
                <w:rFonts w:ascii="宋体" w:hAnsi="宋体" w:cs="宋体"/>
                <w:color w:val="auto"/>
                <w:sz w:val="24"/>
                <w:highlight w:val="none"/>
              </w:rPr>
            </w:pPr>
          </w:p>
        </w:tc>
      </w:tr>
    </w:tbl>
    <w:p w14:paraId="4FD9BB45">
      <w:pPr>
        <w:ind w:firstLine="240"/>
        <w:jc w:val="left"/>
        <w:rPr>
          <w:rFonts w:ascii="宋体" w:hAnsi="宋体"/>
          <w:color w:val="auto"/>
          <w:sz w:val="24"/>
          <w:highlight w:val="none"/>
        </w:rPr>
      </w:pPr>
    </w:p>
    <w:p w14:paraId="7C78FB09">
      <w:pPr>
        <w:ind w:firstLine="240"/>
        <w:jc w:val="left"/>
        <w:rPr>
          <w:rFonts w:ascii="宋体" w:hAnsi="宋体"/>
          <w:color w:val="auto"/>
          <w:sz w:val="24"/>
          <w:highlight w:val="none"/>
        </w:rPr>
      </w:pPr>
      <w:r>
        <w:rPr>
          <w:rFonts w:hint="eastAsia" w:ascii="宋体" w:hAnsi="宋体"/>
          <w:color w:val="auto"/>
          <w:sz w:val="24"/>
          <w:highlight w:val="none"/>
        </w:rPr>
        <w:t>此表仅供参考。</w:t>
      </w:r>
    </w:p>
    <w:p w14:paraId="3B2603A3">
      <w:pPr>
        <w:ind w:firstLine="3360"/>
        <w:jc w:val="left"/>
        <w:rPr>
          <w:rFonts w:ascii="宋体" w:hAnsi="宋体"/>
          <w:color w:val="auto"/>
          <w:sz w:val="24"/>
          <w:highlight w:val="none"/>
        </w:rPr>
      </w:pPr>
    </w:p>
    <w:p w14:paraId="2A1F5A03">
      <w:pPr>
        <w:spacing w:line="360" w:lineRule="auto"/>
        <w:jc w:val="left"/>
        <w:rPr>
          <w:rFonts w:ascii="宋体" w:hAnsi="宋体"/>
          <w:color w:val="auto"/>
          <w:sz w:val="24"/>
          <w:highlight w:val="none"/>
        </w:rPr>
      </w:pPr>
    </w:p>
    <w:p w14:paraId="2BF80F3C">
      <w:pPr>
        <w:spacing w:line="360" w:lineRule="auto"/>
        <w:jc w:val="left"/>
        <w:rPr>
          <w:rFonts w:ascii="宋体" w:hAnsi="宋体"/>
          <w:color w:val="auto"/>
          <w:sz w:val="24"/>
          <w:highlight w:val="none"/>
        </w:rPr>
      </w:pPr>
    </w:p>
    <w:p w14:paraId="53D2B74F">
      <w:pPr>
        <w:spacing w:line="360" w:lineRule="auto"/>
        <w:jc w:val="left"/>
        <w:rPr>
          <w:rFonts w:ascii="宋体" w:hAnsi="宋体"/>
          <w:color w:val="auto"/>
          <w:sz w:val="24"/>
          <w:highlight w:val="none"/>
        </w:rPr>
      </w:pPr>
    </w:p>
    <w:p w14:paraId="23C61798">
      <w:pPr>
        <w:spacing w:line="360" w:lineRule="auto"/>
        <w:ind w:firstLine="283"/>
        <w:jc w:val="left"/>
        <w:rPr>
          <w:rFonts w:ascii="宋体" w:hAnsi="宋体"/>
          <w:color w:val="auto"/>
          <w:sz w:val="24"/>
          <w:highlight w:val="none"/>
        </w:rPr>
      </w:pPr>
      <w:r>
        <w:rPr>
          <w:rFonts w:hint="eastAsia" w:ascii="宋体" w:hAnsi="宋体"/>
          <w:color w:val="auto"/>
          <w:sz w:val="24"/>
          <w:highlight w:val="none"/>
        </w:rPr>
        <w:t>供应商名称（公章）：</w:t>
      </w:r>
    </w:p>
    <w:p w14:paraId="733D70D2">
      <w:pPr>
        <w:spacing w:line="360" w:lineRule="auto"/>
        <w:ind w:firstLine="283"/>
        <w:jc w:val="left"/>
        <w:rPr>
          <w:rFonts w:ascii="宋体" w:hAnsi="宋体"/>
          <w:color w:val="auto"/>
          <w:sz w:val="24"/>
          <w:highlight w:val="none"/>
        </w:rPr>
      </w:pPr>
    </w:p>
    <w:p w14:paraId="054602A1">
      <w:pPr>
        <w:spacing w:line="360" w:lineRule="auto"/>
        <w:ind w:firstLine="283"/>
        <w:jc w:val="left"/>
        <w:rPr>
          <w:rFonts w:ascii="宋体" w:hAnsi="宋体"/>
          <w:color w:val="auto"/>
          <w:sz w:val="24"/>
          <w:highlight w:val="none"/>
        </w:rPr>
      </w:pPr>
      <w:r>
        <w:rPr>
          <w:rFonts w:hint="eastAsia" w:ascii="宋体" w:hAnsi="宋体"/>
          <w:color w:val="auto"/>
          <w:sz w:val="24"/>
          <w:highlight w:val="none"/>
        </w:rPr>
        <w:t>法定代表人或代理人（签字或盖章）：</w:t>
      </w:r>
    </w:p>
    <w:p w14:paraId="25676803">
      <w:pPr>
        <w:spacing w:line="360" w:lineRule="auto"/>
        <w:jc w:val="left"/>
        <w:rPr>
          <w:rFonts w:hint="eastAsia"/>
          <w:color w:val="auto"/>
          <w:sz w:val="24"/>
          <w:szCs w:val="20"/>
          <w:highlight w:val="none"/>
          <w:lang w:val="en-US" w:eastAsia="zh-CN"/>
        </w:rPr>
      </w:pPr>
      <w:r>
        <w:rPr>
          <w:color w:val="auto"/>
          <w:sz w:val="24"/>
          <w:szCs w:val="20"/>
          <w:highlight w:val="none"/>
        </w:rPr>
        <w:br w:type="page" w:clear="all"/>
      </w:r>
    </w:p>
    <w:p w14:paraId="52BAAF7D">
      <w:pPr>
        <w:spacing w:line="360" w:lineRule="auto"/>
        <w:jc w:val="left"/>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11</w:t>
      </w:r>
      <w:r>
        <w:rPr>
          <w:rFonts w:hint="eastAsia" w:ascii="宋体" w:hAnsi="宋体" w:eastAsia="宋体" w:cs="宋体"/>
          <w:b/>
          <w:bCs/>
          <w:color w:val="auto"/>
          <w:sz w:val="24"/>
          <w:szCs w:val="20"/>
          <w:highlight w:val="none"/>
        </w:rPr>
        <w:t xml:space="preserve"> 合同条款偏离表</w:t>
      </w:r>
      <w:bookmarkEnd w:id="699"/>
      <w:bookmarkEnd w:id="700"/>
      <w:bookmarkEnd w:id="701"/>
      <w:bookmarkEnd w:id="702"/>
      <w:bookmarkEnd w:id="703"/>
      <w:bookmarkEnd w:id="704"/>
      <w:bookmarkEnd w:id="705"/>
      <w:bookmarkEnd w:id="706"/>
      <w:bookmarkEnd w:id="707"/>
      <w:bookmarkEnd w:id="708"/>
      <w:bookmarkEnd w:id="709"/>
      <w:bookmarkEnd w:id="710"/>
      <w:bookmarkEnd w:id="711"/>
      <w:r>
        <w:rPr>
          <w:rFonts w:hint="eastAsia" w:ascii="宋体" w:hAnsi="宋体" w:cs="宋体"/>
          <w:b/>
          <w:bCs/>
          <w:color w:val="auto"/>
          <w:sz w:val="24"/>
          <w:szCs w:val="20"/>
          <w:highlight w:val="none"/>
          <w:lang w:val="en-US" w:eastAsia="zh-CN"/>
        </w:rPr>
        <w:t>(实质性格式)</w:t>
      </w:r>
    </w:p>
    <w:p w14:paraId="750BBBCE">
      <w:pPr>
        <w:spacing w:line="360" w:lineRule="auto"/>
        <w:rPr>
          <w:color w:val="auto"/>
          <w:sz w:val="24"/>
          <w:szCs w:val="20"/>
          <w:highlight w:val="none"/>
        </w:rPr>
      </w:pPr>
    </w:p>
    <w:p w14:paraId="4962EAED">
      <w:pPr>
        <w:jc w:val="center"/>
        <w:rPr>
          <w:b/>
          <w:color w:val="auto"/>
          <w:sz w:val="36"/>
          <w:szCs w:val="36"/>
          <w:highlight w:val="none"/>
        </w:rPr>
      </w:pPr>
      <w:r>
        <w:rPr>
          <w:rFonts w:hint="eastAsia"/>
          <w:b/>
          <w:color w:val="auto"/>
          <w:sz w:val="36"/>
          <w:szCs w:val="36"/>
          <w:highlight w:val="none"/>
        </w:rPr>
        <w:t>合同条款偏离表</w:t>
      </w:r>
    </w:p>
    <w:p w14:paraId="30657873">
      <w:pPr>
        <w:jc w:val="center"/>
        <w:rPr>
          <w:color w:val="auto"/>
          <w:sz w:val="36"/>
          <w:szCs w:val="36"/>
          <w:highlight w:val="none"/>
        </w:rPr>
      </w:pPr>
    </w:p>
    <w:p w14:paraId="3A0E791E">
      <w:pPr>
        <w:spacing w:line="360" w:lineRule="auto"/>
        <w:rPr>
          <w:color w:val="auto"/>
          <w:sz w:val="24"/>
          <w:szCs w:val="20"/>
          <w:highlight w:val="none"/>
        </w:rPr>
      </w:pPr>
    </w:p>
    <w:p w14:paraId="6EC6DC9B">
      <w:pPr>
        <w:tabs>
          <w:tab w:val="left" w:pos="1800"/>
          <w:tab w:val="left" w:pos="5580"/>
        </w:tabs>
        <w:spacing w:line="360" w:lineRule="auto"/>
        <w:ind w:firstLine="360"/>
        <w:jc w:val="left"/>
        <w:rPr>
          <w:color w:val="auto"/>
          <w:sz w:val="24"/>
          <w:highlight w:val="none"/>
        </w:rPr>
      </w:pPr>
      <w:r>
        <w:rPr>
          <w:color w:val="auto"/>
          <w:sz w:val="24"/>
          <w:highlight w:val="none"/>
        </w:rPr>
        <w:t>项目编号/包号：_______________     项目名称：_____________________</w:t>
      </w:r>
    </w:p>
    <w:tbl>
      <w:tblPr>
        <w:tblStyle w:val="36"/>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4"/>
        <w:gridCol w:w="1301"/>
        <w:gridCol w:w="2007"/>
        <w:gridCol w:w="2008"/>
        <w:gridCol w:w="2458"/>
        <w:gridCol w:w="788"/>
      </w:tblGrid>
      <w:tr w14:paraId="2EB9F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396" w:type="dxa"/>
            <w:gridSpan w:val="6"/>
            <w:vAlign w:val="center"/>
          </w:tcPr>
          <w:p w14:paraId="05FBAEA8">
            <w:pPr>
              <w:jc w:val="left"/>
              <w:rPr>
                <w:b/>
                <w:color w:val="auto"/>
                <w:sz w:val="24"/>
                <w:highlight w:val="none"/>
              </w:rPr>
            </w:pPr>
            <w:r>
              <w:rPr>
                <w:rFonts w:hint="eastAsia"/>
                <w:b/>
                <w:color w:val="auto"/>
                <w:sz w:val="24"/>
                <w:highlight w:val="none"/>
              </w:rPr>
              <w:t>对本项目合同条款的偏离情况（请进行勾选）：</w:t>
            </w:r>
          </w:p>
          <w:p w14:paraId="522D1AAB">
            <w:pPr>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672C7411">
            <w:pPr>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如有负偏离，</w:t>
            </w:r>
            <w:r>
              <w:rPr>
                <w:color w:val="auto"/>
                <w:sz w:val="24"/>
                <w:highlight w:val="none"/>
              </w:rPr>
              <w:t>则须在本表中对负偏离项逐一列明）</w:t>
            </w:r>
          </w:p>
        </w:tc>
      </w:tr>
      <w:tr w14:paraId="77253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266EE45F">
            <w:pPr>
              <w:jc w:val="center"/>
              <w:rPr>
                <w:color w:val="auto"/>
                <w:sz w:val="24"/>
                <w:highlight w:val="none"/>
              </w:rPr>
            </w:pPr>
            <w:r>
              <w:rPr>
                <w:color w:val="auto"/>
                <w:sz w:val="24"/>
                <w:highlight w:val="none"/>
              </w:rPr>
              <w:t>序号</w:t>
            </w:r>
          </w:p>
        </w:tc>
        <w:tc>
          <w:tcPr>
            <w:tcW w:w="1301" w:type="dxa"/>
            <w:vAlign w:val="center"/>
          </w:tcPr>
          <w:p w14:paraId="6422C0F1">
            <w:pPr>
              <w:jc w:val="center"/>
              <w:rPr>
                <w:color w:val="auto"/>
                <w:sz w:val="24"/>
                <w:highlight w:val="none"/>
              </w:rPr>
            </w:pPr>
            <w:r>
              <w:rPr>
                <w:color w:val="auto"/>
                <w:sz w:val="24"/>
                <w:szCs w:val="21"/>
                <w:highlight w:val="none"/>
              </w:rPr>
              <w:t>磋商文件</w:t>
            </w:r>
            <w:r>
              <w:rPr>
                <w:color w:val="auto"/>
                <w:sz w:val="24"/>
                <w:highlight w:val="none"/>
              </w:rPr>
              <w:t>条目号（页码）</w:t>
            </w:r>
          </w:p>
        </w:tc>
        <w:tc>
          <w:tcPr>
            <w:tcW w:w="2007" w:type="dxa"/>
            <w:vAlign w:val="center"/>
          </w:tcPr>
          <w:p w14:paraId="3C197419">
            <w:pPr>
              <w:jc w:val="center"/>
              <w:rPr>
                <w:color w:val="auto"/>
                <w:sz w:val="24"/>
                <w:highlight w:val="none"/>
              </w:rPr>
            </w:pPr>
            <w:r>
              <w:rPr>
                <w:color w:val="auto"/>
                <w:sz w:val="24"/>
                <w:szCs w:val="21"/>
                <w:highlight w:val="none"/>
              </w:rPr>
              <w:t>磋商文件</w:t>
            </w:r>
            <w:r>
              <w:rPr>
                <w:color w:val="auto"/>
                <w:sz w:val="24"/>
                <w:highlight w:val="none"/>
              </w:rPr>
              <w:t>要求</w:t>
            </w:r>
          </w:p>
        </w:tc>
        <w:tc>
          <w:tcPr>
            <w:tcW w:w="2008" w:type="dxa"/>
            <w:vAlign w:val="center"/>
          </w:tcPr>
          <w:p w14:paraId="072556D1">
            <w:pPr>
              <w:jc w:val="center"/>
              <w:rPr>
                <w:color w:val="auto"/>
                <w:sz w:val="24"/>
                <w:highlight w:val="none"/>
              </w:rPr>
            </w:pPr>
            <w:r>
              <w:rPr>
                <w:color w:val="auto"/>
                <w:sz w:val="24"/>
                <w:highlight w:val="none"/>
              </w:rPr>
              <w:t>响应文件内容</w:t>
            </w:r>
          </w:p>
        </w:tc>
        <w:tc>
          <w:tcPr>
            <w:tcW w:w="2458" w:type="dxa"/>
            <w:vAlign w:val="center"/>
          </w:tcPr>
          <w:p w14:paraId="6AE3BE9C">
            <w:pPr>
              <w:jc w:val="center"/>
              <w:rPr>
                <w:color w:val="auto"/>
                <w:sz w:val="24"/>
                <w:highlight w:val="none"/>
              </w:rPr>
            </w:pPr>
            <w:r>
              <w:rPr>
                <w:color w:val="auto"/>
                <w:sz w:val="24"/>
                <w:highlight w:val="none"/>
              </w:rPr>
              <w:t>偏离情况</w:t>
            </w:r>
          </w:p>
          <w:p w14:paraId="24377FF2">
            <w:pPr>
              <w:jc w:val="center"/>
              <w:rPr>
                <w:color w:val="auto"/>
                <w:sz w:val="24"/>
                <w:highlight w:val="none"/>
              </w:rPr>
            </w:pPr>
            <w:r>
              <w:rPr>
                <w:color w:val="auto"/>
                <w:sz w:val="24"/>
                <w:highlight w:val="none"/>
              </w:rPr>
              <w:t>（据实填写）</w:t>
            </w:r>
          </w:p>
        </w:tc>
        <w:tc>
          <w:tcPr>
            <w:tcW w:w="788" w:type="dxa"/>
            <w:vAlign w:val="center"/>
          </w:tcPr>
          <w:p w14:paraId="7CD4508D">
            <w:pPr>
              <w:jc w:val="center"/>
              <w:rPr>
                <w:color w:val="auto"/>
                <w:sz w:val="24"/>
                <w:highlight w:val="none"/>
              </w:rPr>
            </w:pPr>
            <w:r>
              <w:rPr>
                <w:color w:val="auto"/>
                <w:sz w:val="24"/>
                <w:highlight w:val="none"/>
              </w:rPr>
              <w:t>说明</w:t>
            </w:r>
          </w:p>
        </w:tc>
      </w:tr>
      <w:tr w14:paraId="5863B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55C0D7F5">
            <w:pPr>
              <w:jc w:val="center"/>
              <w:rPr>
                <w:color w:val="auto"/>
                <w:sz w:val="24"/>
                <w:highlight w:val="none"/>
              </w:rPr>
            </w:pPr>
          </w:p>
        </w:tc>
        <w:tc>
          <w:tcPr>
            <w:tcW w:w="1301" w:type="dxa"/>
            <w:vAlign w:val="center"/>
          </w:tcPr>
          <w:p w14:paraId="46D4181A">
            <w:pPr>
              <w:jc w:val="center"/>
              <w:rPr>
                <w:color w:val="auto"/>
                <w:sz w:val="24"/>
                <w:highlight w:val="none"/>
              </w:rPr>
            </w:pPr>
          </w:p>
        </w:tc>
        <w:tc>
          <w:tcPr>
            <w:tcW w:w="2007" w:type="dxa"/>
            <w:vAlign w:val="center"/>
          </w:tcPr>
          <w:p w14:paraId="634C4E8D">
            <w:pPr>
              <w:jc w:val="center"/>
              <w:rPr>
                <w:color w:val="auto"/>
                <w:sz w:val="24"/>
                <w:highlight w:val="none"/>
              </w:rPr>
            </w:pPr>
          </w:p>
        </w:tc>
        <w:tc>
          <w:tcPr>
            <w:tcW w:w="2008" w:type="dxa"/>
            <w:vAlign w:val="center"/>
          </w:tcPr>
          <w:p w14:paraId="4E5E680A">
            <w:pPr>
              <w:jc w:val="center"/>
              <w:rPr>
                <w:color w:val="auto"/>
                <w:sz w:val="24"/>
                <w:highlight w:val="none"/>
              </w:rPr>
            </w:pPr>
          </w:p>
        </w:tc>
        <w:tc>
          <w:tcPr>
            <w:tcW w:w="2458" w:type="dxa"/>
            <w:vAlign w:val="center"/>
          </w:tcPr>
          <w:p w14:paraId="54537985">
            <w:pPr>
              <w:jc w:val="center"/>
              <w:rPr>
                <w:color w:val="auto"/>
                <w:sz w:val="24"/>
                <w:highlight w:val="none"/>
              </w:rPr>
            </w:pPr>
          </w:p>
        </w:tc>
        <w:tc>
          <w:tcPr>
            <w:tcW w:w="788" w:type="dxa"/>
            <w:vAlign w:val="center"/>
          </w:tcPr>
          <w:p w14:paraId="584C1EDB">
            <w:pPr>
              <w:jc w:val="center"/>
              <w:rPr>
                <w:color w:val="auto"/>
                <w:sz w:val="24"/>
                <w:highlight w:val="none"/>
              </w:rPr>
            </w:pPr>
          </w:p>
        </w:tc>
      </w:tr>
      <w:tr w14:paraId="723D5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1C72B735">
            <w:pPr>
              <w:jc w:val="center"/>
              <w:rPr>
                <w:color w:val="auto"/>
                <w:sz w:val="24"/>
                <w:highlight w:val="none"/>
              </w:rPr>
            </w:pPr>
          </w:p>
        </w:tc>
        <w:tc>
          <w:tcPr>
            <w:tcW w:w="1301" w:type="dxa"/>
            <w:vAlign w:val="center"/>
          </w:tcPr>
          <w:p w14:paraId="22D29F7A">
            <w:pPr>
              <w:jc w:val="center"/>
              <w:rPr>
                <w:color w:val="auto"/>
                <w:sz w:val="24"/>
                <w:highlight w:val="none"/>
              </w:rPr>
            </w:pPr>
          </w:p>
        </w:tc>
        <w:tc>
          <w:tcPr>
            <w:tcW w:w="2007" w:type="dxa"/>
            <w:vAlign w:val="center"/>
          </w:tcPr>
          <w:p w14:paraId="7EB74EB3">
            <w:pPr>
              <w:jc w:val="center"/>
              <w:rPr>
                <w:color w:val="auto"/>
                <w:sz w:val="24"/>
                <w:highlight w:val="none"/>
              </w:rPr>
            </w:pPr>
          </w:p>
        </w:tc>
        <w:tc>
          <w:tcPr>
            <w:tcW w:w="2008" w:type="dxa"/>
            <w:vAlign w:val="center"/>
          </w:tcPr>
          <w:p w14:paraId="276503E1">
            <w:pPr>
              <w:jc w:val="center"/>
              <w:rPr>
                <w:color w:val="auto"/>
                <w:sz w:val="24"/>
                <w:highlight w:val="none"/>
              </w:rPr>
            </w:pPr>
          </w:p>
        </w:tc>
        <w:tc>
          <w:tcPr>
            <w:tcW w:w="2458" w:type="dxa"/>
            <w:vAlign w:val="center"/>
          </w:tcPr>
          <w:p w14:paraId="2B4177E3">
            <w:pPr>
              <w:jc w:val="center"/>
              <w:rPr>
                <w:color w:val="auto"/>
                <w:sz w:val="24"/>
                <w:highlight w:val="none"/>
              </w:rPr>
            </w:pPr>
          </w:p>
        </w:tc>
        <w:tc>
          <w:tcPr>
            <w:tcW w:w="788" w:type="dxa"/>
            <w:vAlign w:val="center"/>
          </w:tcPr>
          <w:p w14:paraId="1CB74608">
            <w:pPr>
              <w:jc w:val="center"/>
              <w:rPr>
                <w:color w:val="auto"/>
                <w:sz w:val="24"/>
                <w:highlight w:val="none"/>
              </w:rPr>
            </w:pPr>
          </w:p>
        </w:tc>
      </w:tr>
      <w:tr w14:paraId="4B060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63EAF83D">
            <w:pPr>
              <w:jc w:val="center"/>
              <w:rPr>
                <w:color w:val="auto"/>
                <w:sz w:val="24"/>
                <w:highlight w:val="none"/>
              </w:rPr>
            </w:pPr>
          </w:p>
        </w:tc>
        <w:tc>
          <w:tcPr>
            <w:tcW w:w="1301" w:type="dxa"/>
            <w:vAlign w:val="center"/>
          </w:tcPr>
          <w:p w14:paraId="0DB95D47">
            <w:pPr>
              <w:jc w:val="center"/>
              <w:rPr>
                <w:color w:val="auto"/>
                <w:sz w:val="24"/>
                <w:highlight w:val="none"/>
              </w:rPr>
            </w:pPr>
          </w:p>
        </w:tc>
        <w:tc>
          <w:tcPr>
            <w:tcW w:w="2007" w:type="dxa"/>
            <w:vAlign w:val="center"/>
          </w:tcPr>
          <w:p w14:paraId="58A95FCB">
            <w:pPr>
              <w:jc w:val="center"/>
              <w:rPr>
                <w:color w:val="auto"/>
                <w:sz w:val="24"/>
                <w:highlight w:val="none"/>
              </w:rPr>
            </w:pPr>
          </w:p>
        </w:tc>
        <w:tc>
          <w:tcPr>
            <w:tcW w:w="2008" w:type="dxa"/>
            <w:vAlign w:val="center"/>
          </w:tcPr>
          <w:p w14:paraId="6E5AB8E1">
            <w:pPr>
              <w:jc w:val="center"/>
              <w:rPr>
                <w:color w:val="auto"/>
                <w:sz w:val="24"/>
                <w:highlight w:val="none"/>
              </w:rPr>
            </w:pPr>
          </w:p>
        </w:tc>
        <w:tc>
          <w:tcPr>
            <w:tcW w:w="2458" w:type="dxa"/>
            <w:vAlign w:val="center"/>
          </w:tcPr>
          <w:p w14:paraId="73BF80FE">
            <w:pPr>
              <w:jc w:val="center"/>
              <w:rPr>
                <w:color w:val="auto"/>
                <w:sz w:val="24"/>
                <w:highlight w:val="none"/>
              </w:rPr>
            </w:pPr>
          </w:p>
        </w:tc>
        <w:tc>
          <w:tcPr>
            <w:tcW w:w="788" w:type="dxa"/>
            <w:vAlign w:val="center"/>
          </w:tcPr>
          <w:p w14:paraId="6B626EA2">
            <w:pPr>
              <w:jc w:val="center"/>
              <w:rPr>
                <w:color w:val="auto"/>
                <w:sz w:val="24"/>
                <w:highlight w:val="none"/>
              </w:rPr>
            </w:pPr>
          </w:p>
        </w:tc>
      </w:tr>
      <w:tr w14:paraId="62A342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424A688C">
            <w:pPr>
              <w:jc w:val="center"/>
              <w:rPr>
                <w:color w:val="auto"/>
                <w:sz w:val="24"/>
                <w:highlight w:val="none"/>
              </w:rPr>
            </w:pPr>
          </w:p>
        </w:tc>
        <w:tc>
          <w:tcPr>
            <w:tcW w:w="1301" w:type="dxa"/>
            <w:vAlign w:val="center"/>
          </w:tcPr>
          <w:p w14:paraId="4CE1B0E4">
            <w:pPr>
              <w:jc w:val="center"/>
              <w:rPr>
                <w:color w:val="auto"/>
                <w:sz w:val="24"/>
                <w:highlight w:val="none"/>
              </w:rPr>
            </w:pPr>
          </w:p>
        </w:tc>
        <w:tc>
          <w:tcPr>
            <w:tcW w:w="2007" w:type="dxa"/>
            <w:vAlign w:val="center"/>
          </w:tcPr>
          <w:p w14:paraId="28F8DB50">
            <w:pPr>
              <w:jc w:val="center"/>
              <w:rPr>
                <w:color w:val="auto"/>
                <w:sz w:val="24"/>
                <w:highlight w:val="none"/>
              </w:rPr>
            </w:pPr>
          </w:p>
        </w:tc>
        <w:tc>
          <w:tcPr>
            <w:tcW w:w="2008" w:type="dxa"/>
            <w:vAlign w:val="center"/>
          </w:tcPr>
          <w:p w14:paraId="23FF1AA6">
            <w:pPr>
              <w:jc w:val="center"/>
              <w:rPr>
                <w:color w:val="auto"/>
                <w:sz w:val="24"/>
                <w:highlight w:val="none"/>
              </w:rPr>
            </w:pPr>
          </w:p>
        </w:tc>
        <w:tc>
          <w:tcPr>
            <w:tcW w:w="2458" w:type="dxa"/>
            <w:vAlign w:val="center"/>
          </w:tcPr>
          <w:p w14:paraId="7D459406">
            <w:pPr>
              <w:jc w:val="center"/>
              <w:rPr>
                <w:color w:val="auto"/>
                <w:sz w:val="24"/>
                <w:highlight w:val="none"/>
              </w:rPr>
            </w:pPr>
          </w:p>
        </w:tc>
        <w:tc>
          <w:tcPr>
            <w:tcW w:w="788" w:type="dxa"/>
            <w:vAlign w:val="center"/>
          </w:tcPr>
          <w:p w14:paraId="25FF13F6">
            <w:pPr>
              <w:jc w:val="center"/>
              <w:rPr>
                <w:color w:val="auto"/>
                <w:sz w:val="24"/>
                <w:highlight w:val="none"/>
              </w:rPr>
            </w:pPr>
          </w:p>
        </w:tc>
      </w:tr>
    </w:tbl>
    <w:p w14:paraId="1040BA17">
      <w:pPr>
        <w:tabs>
          <w:tab w:val="left" w:pos="1800"/>
          <w:tab w:val="left" w:pos="5580"/>
        </w:tabs>
        <w:jc w:val="left"/>
        <w:rPr>
          <w:color w:val="auto"/>
          <w:sz w:val="24"/>
          <w:highlight w:val="none"/>
        </w:rPr>
      </w:pPr>
    </w:p>
    <w:p w14:paraId="5483DDE2">
      <w:pPr>
        <w:tabs>
          <w:tab w:val="left" w:pos="1800"/>
          <w:tab w:val="left" w:pos="5580"/>
        </w:tabs>
        <w:jc w:val="left"/>
        <w:rPr>
          <w:color w:val="auto"/>
          <w:sz w:val="24"/>
          <w:highlight w:val="none"/>
        </w:rPr>
      </w:pPr>
      <w:r>
        <w:rPr>
          <w:rFonts w:hint="eastAsia"/>
          <w:color w:val="auto"/>
          <w:sz w:val="24"/>
          <w:highlight w:val="none"/>
        </w:rPr>
        <w:t>注：</w:t>
      </w:r>
    </w:p>
    <w:p w14:paraId="741C64CA">
      <w:pPr>
        <w:tabs>
          <w:tab w:val="left" w:pos="1800"/>
          <w:tab w:val="left" w:pos="5580"/>
        </w:tabs>
        <w:jc w:val="left"/>
        <w:rPr>
          <w:color w:val="auto"/>
          <w:sz w:val="24"/>
          <w:highlight w:val="none"/>
        </w:rPr>
      </w:pPr>
      <w:r>
        <w:rPr>
          <w:color w:val="auto"/>
          <w:sz w:val="24"/>
          <w:highlight w:val="none"/>
        </w:rPr>
        <w:t xml:space="preserve">1. </w:t>
      </w:r>
      <w:r>
        <w:rPr>
          <w:rFonts w:hint="eastAsia"/>
          <w:color w:val="auto"/>
          <w:sz w:val="24"/>
          <w:highlight w:val="none"/>
        </w:rPr>
        <w:t>对合同条款中的所有要求，除本表所列明的所有偏离外，均视作供应商已对之理解和响应。</w:t>
      </w:r>
    </w:p>
    <w:p w14:paraId="274400E9">
      <w:pPr>
        <w:tabs>
          <w:tab w:val="left" w:pos="1800"/>
          <w:tab w:val="left" w:pos="5580"/>
        </w:tabs>
        <w:jc w:val="left"/>
        <w:rPr>
          <w:color w:val="auto"/>
          <w:sz w:val="24"/>
          <w:highlight w:val="none"/>
        </w:rPr>
      </w:pPr>
      <w:r>
        <w:rPr>
          <w:color w:val="auto"/>
          <w:sz w:val="24"/>
          <w:highlight w:val="none"/>
        </w:rPr>
        <w:t xml:space="preserve">2. </w:t>
      </w:r>
      <w:r>
        <w:rPr>
          <w:rFonts w:hint="eastAsia"/>
          <w:color w:val="auto"/>
          <w:sz w:val="24"/>
          <w:highlight w:val="none"/>
        </w:rPr>
        <w:t>“偏离情况”列应据实填写“正偏离”或“负偏离”。</w:t>
      </w:r>
    </w:p>
    <w:p w14:paraId="218698C8">
      <w:pPr>
        <w:spacing w:line="360" w:lineRule="auto"/>
        <w:rPr>
          <w:color w:val="auto"/>
          <w:sz w:val="24"/>
          <w:szCs w:val="20"/>
          <w:highlight w:val="none"/>
        </w:rPr>
      </w:pPr>
    </w:p>
    <w:p w14:paraId="24C0C168">
      <w:pPr>
        <w:spacing w:before="25" w:after="25" w:line="360" w:lineRule="auto"/>
        <w:rPr>
          <w:color w:val="auto"/>
          <w:sz w:val="24"/>
          <w:highlight w:val="none"/>
          <w:lang w:val="zh-CN"/>
        </w:rPr>
      </w:pPr>
    </w:p>
    <w:p w14:paraId="3B808978">
      <w:pPr>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：____________</w:t>
      </w:r>
    </w:p>
    <w:p w14:paraId="49157740">
      <w:pPr>
        <w:spacing w:before="25" w:after="25" w:line="360" w:lineRule="auto"/>
        <w:rPr>
          <w:color w:val="auto"/>
          <w:sz w:val="24"/>
          <w:highlight w:val="none"/>
          <w:lang w:val="zh-CN"/>
        </w:rPr>
      </w:pPr>
      <w:r>
        <w:rPr>
          <w:color w:val="auto"/>
          <w:sz w:val="24"/>
          <w:szCs w:val="20"/>
          <w:highlight w:val="none"/>
        </w:rPr>
        <w:t>日期：</w:t>
      </w:r>
      <w:r>
        <w:rPr>
          <w:color w:val="auto"/>
          <w:sz w:val="24"/>
          <w:highlight w:val="none"/>
          <w:lang w:val="zh-CN"/>
        </w:rPr>
        <w:t>____________</w:t>
      </w:r>
      <w:r>
        <w:rPr>
          <w:color w:val="auto"/>
          <w:sz w:val="24"/>
          <w:szCs w:val="20"/>
          <w:highlight w:val="none"/>
        </w:rPr>
        <w:t xml:space="preserve">年______月______日   </w:t>
      </w:r>
    </w:p>
    <w:p w14:paraId="1AD9B73D">
      <w:pPr>
        <w:spacing w:line="360" w:lineRule="auto"/>
        <w:outlineLvl w:val="2"/>
        <w:rPr>
          <w:rFonts w:hint="eastAsia" w:ascii="宋体" w:hAnsi="宋体" w:eastAsia="宋体" w:cs="宋体"/>
          <w:b/>
          <w:bCs/>
          <w:color w:val="auto"/>
          <w:sz w:val="24"/>
          <w:szCs w:val="20"/>
          <w:highlight w:val="none"/>
        </w:rPr>
      </w:pPr>
      <w:r>
        <w:rPr>
          <w:color w:val="auto"/>
          <w:sz w:val="24"/>
          <w:szCs w:val="20"/>
          <w:highlight w:val="none"/>
        </w:rPr>
        <w:br w:type="page" w:clear="all"/>
      </w:r>
      <w:bookmarkEnd w:id="712"/>
      <w:bookmarkEnd w:id="713"/>
      <w:bookmarkEnd w:id="714"/>
      <w:bookmarkEnd w:id="715"/>
      <w:bookmarkEnd w:id="716"/>
      <w:bookmarkEnd w:id="717"/>
      <w:bookmarkEnd w:id="718"/>
      <w:bookmarkEnd w:id="719"/>
      <w:bookmarkEnd w:id="720"/>
      <w:bookmarkEnd w:id="721"/>
      <w:bookmarkEnd w:id="722"/>
      <w:bookmarkEnd w:id="723"/>
      <w:bookmarkEnd w:id="724"/>
      <w:r>
        <w:rPr>
          <w:rFonts w:hint="eastAsia" w:ascii="宋体" w:hAnsi="宋体" w:eastAsia="宋体" w:cs="宋体"/>
          <w:b/>
          <w:bCs/>
          <w:color w:val="auto"/>
          <w:sz w:val="24"/>
          <w:szCs w:val="20"/>
          <w:highlight w:val="none"/>
          <w:lang w:val="en-US" w:eastAsia="zh-CN"/>
        </w:rPr>
        <w:t xml:space="preserve">12 </w:t>
      </w:r>
      <w:r>
        <w:rPr>
          <w:rFonts w:hint="eastAsia" w:ascii="宋体" w:hAnsi="宋体" w:eastAsia="宋体" w:cs="宋体"/>
          <w:b/>
          <w:bCs/>
          <w:color w:val="auto"/>
          <w:sz w:val="24"/>
          <w:szCs w:val="20"/>
          <w:highlight w:val="none"/>
        </w:rPr>
        <w:t>采购需求偏离表</w:t>
      </w:r>
      <w:r>
        <w:rPr>
          <w:rFonts w:hint="eastAsia" w:ascii="宋体" w:hAnsi="宋体" w:cs="宋体"/>
          <w:b/>
          <w:bCs/>
          <w:color w:val="auto"/>
          <w:sz w:val="24"/>
          <w:szCs w:val="20"/>
          <w:highlight w:val="none"/>
          <w:lang w:val="en-US" w:eastAsia="zh-CN"/>
        </w:rPr>
        <w:t>(实质性格式)</w:t>
      </w:r>
    </w:p>
    <w:p w14:paraId="16EB703D">
      <w:pPr>
        <w:jc w:val="center"/>
        <w:rPr>
          <w:b/>
          <w:color w:val="auto"/>
          <w:sz w:val="36"/>
          <w:szCs w:val="36"/>
          <w:highlight w:val="none"/>
        </w:rPr>
      </w:pPr>
      <w:r>
        <w:rPr>
          <w:rFonts w:hint="eastAsia"/>
          <w:b/>
          <w:color w:val="auto"/>
          <w:sz w:val="36"/>
          <w:szCs w:val="36"/>
          <w:highlight w:val="none"/>
        </w:rPr>
        <w:t>采购需求偏离表</w:t>
      </w:r>
    </w:p>
    <w:p w14:paraId="65E77478">
      <w:pPr>
        <w:jc w:val="center"/>
        <w:rPr>
          <w:color w:val="auto"/>
          <w:sz w:val="36"/>
          <w:szCs w:val="36"/>
          <w:highlight w:val="none"/>
        </w:rPr>
      </w:pPr>
    </w:p>
    <w:p w14:paraId="69A448B0">
      <w:pPr>
        <w:tabs>
          <w:tab w:val="left" w:pos="1800"/>
          <w:tab w:val="left" w:pos="5580"/>
        </w:tabs>
        <w:spacing w:line="360" w:lineRule="auto"/>
        <w:ind w:firstLine="360"/>
        <w:jc w:val="left"/>
        <w:rPr>
          <w:color w:val="auto"/>
          <w:sz w:val="24"/>
          <w:highlight w:val="none"/>
          <w:u w:val="single"/>
        </w:rPr>
      </w:pPr>
      <w:r>
        <w:rPr>
          <w:color w:val="auto"/>
          <w:sz w:val="24"/>
          <w:highlight w:val="none"/>
        </w:rPr>
        <w:t>项目编号/包号：_____________________     项目名称：_______________________</w:t>
      </w:r>
    </w:p>
    <w:tbl>
      <w:tblPr>
        <w:tblStyle w:val="36"/>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9F52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vAlign w:val="center"/>
          </w:tcPr>
          <w:p w14:paraId="64B10483">
            <w:pPr>
              <w:jc w:val="center"/>
              <w:rPr>
                <w:color w:val="auto"/>
                <w:sz w:val="24"/>
                <w:highlight w:val="none"/>
              </w:rPr>
            </w:pPr>
            <w:r>
              <w:rPr>
                <w:color w:val="auto"/>
                <w:sz w:val="24"/>
                <w:highlight w:val="none"/>
              </w:rPr>
              <w:t>序号</w:t>
            </w:r>
          </w:p>
        </w:tc>
        <w:tc>
          <w:tcPr>
            <w:tcW w:w="1482" w:type="dxa"/>
            <w:vAlign w:val="center"/>
          </w:tcPr>
          <w:p w14:paraId="2EECC8C3">
            <w:pPr>
              <w:jc w:val="center"/>
              <w:rPr>
                <w:color w:val="auto"/>
                <w:sz w:val="24"/>
                <w:highlight w:val="none"/>
              </w:rPr>
            </w:pPr>
            <w:r>
              <w:rPr>
                <w:color w:val="auto"/>
                <w:sz w:val="24"/>
                <w:highlight w:val="none"/>
              </w:rPr>
              <w:t>磋商文件条目号(页码)</w:t>
            </w:r>
          </w:p>
        </w:tc>
        <w:tc>
          <w:tcPr>
            <w:tcW w:w="2384" w:type="dxa"/>
            <w:vAlign w:val="center"/>
          </w:tcPr>
          <w:p w14:paraId="3E46C482">
            <w:pPr>
              <w:jc w:val="center"/>
              <w:rPr>
                <w:color w:val="auto"/>
                <w:sz w:val="24"/>
                <w:highlight w:val="none"/>
              </w:rPr>
            </w:pPr>
            <w:r>
              <w:rPr>
                <w:color w:val="auto"/>
                <w:sz w:val="24"/>
                <w:highlight w:val="none"/>
              </w:rPr>
              <w:t>磋商文件要求</w:t>
            </w:r>
          </w:p>
        </w:tc>
        <w:tc>
          <w:tcPr>
            <w:tcW w:w="2126" w:type="dxa"/>
            <w:vAlign w:val="center"/>
          </w:tcPr>
          <w:p w14:paraId="2DA8DA00">
            <w:pPr>
              <w:jc w:val="center"/>
              <w:rPr>
                <w:color w:val="auto"/>
                <w:sz w:val="24"/>
                <w:highlight w:val="none"/>
              </w:rPr>
            </w:pPr>
            <w:r>
              <w:rPr>
                <w:color w:val="auto"/>
                <w:sz w:val="24"/>
                <w:highlight w:val="none"/>
              </w:rPr>
              <w:t>响应内容</w:t>
            </w:r>
          </w:p>
        </w:tc>
        <w:tc>
          <w:tcPr>
            <w:tcW w:w="1875" w:type="dxa"/>
            <w:vAlign w:val="center"/>
          </w:tcPr>
          <w:p w14:paraId="7A69B987">
            <w:pPr>
              <w:jc w:val="center"/>
              <w:rPr>
                <w:color w:val="auto"/>
                <w:sz w:val="24"/>
                <w:highlight w:val="none"/>
              </w:rPr>
            </w:pPr>
            <w:r>
              <w:rPr>
                <w:color w:val="auto"/>
                <w:sz w:val="24"/>
                <w:highlight w:val="none"/>
              </w:rPr>
              <w:t>偏离情况</w:t>
            </w:r>
          </w:p>
          <w:p w14:paraId="2F6037CA">
            <w:pPr>
              <w:jc w:val="center"/>
              <w:rPr>
                <w:color w:val="auto"/>
                <w:sz w:val="24"/>
                <w:highlight w:val="none"/>
              </w:rPr>
            </w:pPr>
            <w:r>
              <w:rPr>
                <w:color w:val="auto"/>
                <w:sz w:val="24"/>
                <w:szCs w:val="21"/>
                <w:highlight w:val="none"/>
              </w:rPr>
              <w:t>（据实填写）</w:t>
            </w:r>
          </w:p>
        </w:tc>
        <w:tc>
          <w:tcPr>
            <w:tcW w:w="1009" w:type="dxa"/>
            <w:vAlign w:val="center"/>
          </w:tcPr>
          <w:p w14:paraId="38FF7E0B">
            <w:pPr>
              <w:jc w:val="center"/>
              <w:rPr>
                <w:color w:val="auto"/>
                <w:sz w:val="24"/>
                <w:highlight w:val="none"/>
              </w:rPr>
            </w:pPr>
            <w:r>
              <w:rPr>
                <w:color w:val="auto"/>
                <w:sz w:val="24"/>
                <w:highlight w:val="none"/>
              </w:rPr>
              <w:t>说明</w:t>
            </w:r>
          </w:p>
        </w:tc>
      </w:tr>
      <w:tr w14:paraId="1C382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169A5D6F">
            <w:pPr>
              <w:jc w:val="center"/>
              <w:rPr>
                <w:color w:val="auto"/>
                <w:sz w:val="24"/>
                <w:highlight w:val="none"/>
              </w:rPr>
            </w:pPr>
          </w:p>
        </w:tc>
        <w:tc>
          <w:tcPr>
            <w:tcW w:w="1482" w:type="dxa"/>
            <w:vAlign w:val="center"/>
          </w:tcPr>
          <w:p w14:paraId="2EE95259">
            <w:pPr>
              <w:jc w:val="center"/>
              <w:rPr>
                <w:color w:val="auto"/>
                <w:sz w:val="24"/>
                <w:highlight w:val="none"/>
              </w:rPr>
            </w:pPr>
          </w:p>
        </w:tc>
        <w:tc>
          <w:tcPr>
            <w:tcW w:w="2384" w:type="dxa"/>
            <w:vAlign w:val="center"/>
          </w:tcPr>
          <w:p w14:paraId="46C5E080">
            <w:pPr>
              <w:jc w:val="center"/>
              <w:rPr>
                <w:color w:val="auto"/>
                <w:sz w:val="24"/>
                <w:highlight w:val="none"/>
              </w:rPr>
            </w:pPr>
          </w:p>
        </w:tc>
        <w:tc>
          <w:tcPr>
            <w:tcW w:w="2126" w:type="dxa"/>
            <w:vAlign w:val="center"/>
          </w:tcPr>
          <w:p w14:paraId="267D1DBB">
            <w:pPr>
              <w:jc w:val="center"/>
              <w:rPr>
                <w:color w:val="auto"/>
                <w:sz w:val="24"/>
                <w:highlight w:val="none"/>
              </w:rPr>
            </w:pPr>
          </w:p>
        </w:tc>
        <w:tc>
          <w:tcPr>
            <w:tcW w:w="1875" w:type="dxa"/>
            <w:vAlign w:val="center"/>
          </w:tcPr>
          <w:p w14:paraId="471E864F">
            <w:pPr>
              <w:jc w:val="center"/>
              <w:rPr>
                <w:color w:val="auto"/>
                <w:sz w:val="24"/>
                <w:highlight w:val="none"/>
              </w:rPr>
            </w:pPr>
          </w:p>
        </w:tc>
        <w:tc>
          <w:tcPr>
            <w:tcW w:w="1009" w:type="dxa"/>
            <w:vAlign w:val="center"/>
          </w:tcPr>
          <w:p w14:paraId="5151690E">
            <w:pPr>
              <w:jc w:val="center"/>
              <w:rPr>
                <w:color w:val="auto"/>
                <w:sz w:val="24"/>
                <w:highlight w:val="none"/>
              </w:rPr>
            </w:pPr>
          </w:p>
        </w:tc>
      </w:tr>
      <w:tr w14:paraId="7CB9C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06FA38E0">
            <w:pPr>
              <w:jc w:val="center"/>
              <w:rPr>
                <w:color w:val="auto"/>
                <w:sz w:val="24"/>
                <w:highlight w:val="none"/>
              </w:rPr>
            </w:pPr>
          </w:p>
        </w:tc>
        <w:tc>
          <w:tcPr>
            <w:tcW w:w="1482" w:type="dxa"/>
            <w:vAlign w:val="center"/>
          </w:tcPr>
          <w:p w14:paraId="4F311A65">
            <w:pPr>
              <w:jc w:val="center"/>
              <w:rPr>
                <w:color w:val="auto"/>
                <w:sz w:val="24"/>
                <w:highlight w:val="none"/>
              </w:rPr>
            </w:pPr>
          </w:p>
        </w:tc>
        <w:tc>
          <w:tcPr>
            <w:tcW w:w="2384" w:type="dxa"/>
            <w:vAlign w:val="center"/>
          </w:tcPr>
          <w:p w14:paraId="76FFD20E">
            <w:pPr>
              <w:jc w:val="center"/>
              <w:rPr>
                <w:color w:val="auto"/>
                <w:sz w:val="24"/>
                <w:highlight w:val="none"/>
              </w:rPr>
            </w:pPr>
          </w:p>
        </w:tc>
        <w:tc>
          <w:tcPr>
            <w:tcW w:w="2126" w:type="dxa"/>
            <w:vAlign w:val="center"/>
          </w:tcPr>
          <w:p w14:paraId="6B1C73D6">
            <w:pPr>
              <w:jc w:val="center"/>
              <w:rPr>
                <w:color w:val="auto"/>
                <w:sz w:val="24"/>
                <w:highlight w:val="none"/>
              </w:rPr>
            </w:pPr>
          </w:p>
        </w:tc>
        <w:tc>
          <w:tcPr>
            <w:tcW w:w="1875" w:type="dxa"/>
            <w:vAlign w:val="center"/>
          </w:tcPr>
          <w:p w14:paraId="131B7F2B">
            <w:pPr>
              <w:jc w:val="center"/>
              <w:rPr>
                <w:color w:val="auto"/>
                <w:sz w:val="24"/>
                <w:highlight w:val="none"/>
              </w:rPr>
            </w:pPr>
          </w:p>
        </w:tc>
        <w:tc>
          <w:tcPr>
            <w:tcW w:w="1009" w:type="dxa"/>
            <w:vAlign w:val="center"/>
          </w:tcPr>
          <w:p w14:paraId="1D0A200A">
            <w:pPr>
              <w:jc w:val="center"/>
              <w:rPr>
                <w:color w:val="auto"/>
                <w:sz w:val="24"/>
                <w:highlight w:val="none"/>
              </w:rPr>
            </w:pPr>
          </w:p>
        </w:tc>
      </w:tr>
      <w:tr w14:paraId="03F74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169B992B">
            <w:pPr>
              <w:jc w:val="center"/>
              <w:rPr>
                <w:color w:val="auto"/>
                <w:sz w:val="24"/>
                <w:highlight w:val="none"/>
              </w:rPr>
            </w:pPr>
          </w:p>
        </w:tc>
        <w:tc>
          <w:tcPr>
            <w:tcW w:w="1482" w:type="dxa"/>
            <w:vAlign w:val="center"/>
          </w:tcPr>
          <w:p w14:paraId="1E283C26">
            <w:pPr>
              <w:jc w:val="center"/>
              <w:rPr>
                <w:color w:val="auto"/>
                <w:sz w:val="24"/>
                <w:highlight w:val="none"/>
              </w:rPr>
            </w:pPr>
          </w:p>
        </w:tc>
        <w:tc>
          <w:tcPr>
            <w:tcW w:w="2384" w:type="dxa"/>
            <w:vAlign w:val="center"/>
          </w:tcPr>
          <w:p w14:paraId="20D39129">
            <w:pPr>
              <w:jc w:val="center"/>
              <w:rPr>
                <w:color w:val="auto"/>
                <w:sz w:val="24"/>
                <w:highlight w:val="none"/>
              </w:rPr>
            </w:pPr>
          </w:p>
        </w:tc>
        <w:tc>
          <w:tcPr>
            <w:tcW w:w="2126" w:type="dxa"/>
            <w:vAlign w:val="center"/>
          </w:tcPr>
          <w:p w14:paraId="0A803F9A">
            <w:pPr>
              <w:jc w:val="center"/>
              <w:rPr>
                <w:color w:val="auto"/>
                <w:sz w:val="24"/>
                <w:highlight w:val="none"/>
              </w:rPr>
            </w:pPr>
          </w:p>
        </w:tc>
        <w:tc>
          <w:tcPr>
            <w:tcW w:w="1875" w:type="dxa"/>
            <w:vAlign w:val="center"/>
          </w:tcPr>
          <w:p w14:paraId="4D452AF7">
            <w:pPr>
              <w:jc w:val="center"/>
              <w:rPr>
                <w:color w:val="auto"/>
                <w:sz w:val="24"/>
                <w:highlight w:val="none"/>
              </w:rPr>
            </w:pPr>
          </w:p>
        </w:tc>
        <w:tc>
          <w:tcPr>
            <w:tcW w:w="1009" w:type="dxa"/>
            <w:vAlign w:val="center"/>
          </w:tcPr>
          <w:p w14:paraId="532CA0E8">
            <w:pPr>
              <w:jc w:val="center"/>
              <w:rPr>
                <w:color w:val="auto"/>
                <w:sz w:val="24"/>
                <w:highlight w:val="none"/>
              </w:rPr>
            </w:pPr>
          </w:p>
        </w:tc>
      </w:tr>
      <w:tr w14:paraId="55AC3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0EA69146">
            <w:pPr>
              <w:jc w:val="center"/>
              <w:rPr>
                <w:color w:val="auto"/>
                <w:sz w:val="24"/>
                <w:highlight w:val="none"/>
              </w:rPr>
            </w:pPr>
          </w:p>
        </w:tc>
        <w:tc>
          <w:tcPr>
            <w:tcW w:w="1482" w:type="dxa"/>
            <w:vAlign w:val="center"/>
          </w:tcPr>
          <w:p w14:paraId="0895784E">
            <w:pPr>
              <w:jc w:val="center"/>
              <w:rPr>
                <w:color w:val="auto"/>
                <w:sz w:val="24"/>
                <w:highlight w:val="none"/>
              </w:rPr>
            </w:pPr>
          </w:p>
        </w:tc>
        <w:tc>
          <w:tcPr>
            <w:tcW w:w="2384" w:type="dxa"/>
            <w:vAlign w:val="center"/>
          </w:tcPr>
          <w:p w14:paraId="774B4A16">
            <w:pPr>
              <w:jc w:val="center"/>
              <w:rPr>
                <w:color w:val="auto"/>
                <w:sz w:val="24"/>
                <w:highlight w:val="none"/>
              </w:rPr>
            </w:pPr>
          </w:p>
        </w:tc>
        <w:tc>
          <w:tcPr>
            <w:tcW w:w="2126" w:type="dxa"/>
            <w:vAlign w:val="center"/>
          </w:tcPr>
          <w:p w14:paraId="4AD9C025">
            <w:pPr>
              <w:jc w:val="center"/>
              <w:rPr>
                <w:color w:val="auto"/>
                <w:sz w:val="24"/>
                <w:highlight w:val="none"/>
              </w:rPr>
            </w:pPr>
          </w:p>
        </w:tc>
        <w:tc>
          <w:tcPr>
            <w:tcW w:w="1875" w:type="dxa"/>
            <w:vAlign w:val="center"/>
          </w:tcPr>
          <w:p w14:paraId="5805BB35">
            <w:pPr>
              <w:jc w:val="center"/>
              <w:rPr>
                <w:color w:val="auto"/>
                <w:sz w:val="24"/>
                <w:highlight w:val="none"/>
              </w:rPr>
            </w:pPr>
          </w:p>
        </w:tc>
        <w:tc>
          <w:tcPr>
            <w:tcW w:w="1009" w:type="dxa"/>
            <w:vAlign w:val="center"/>
          </w:tcPr>
          <w:p w14:paraId="61135956">
            <w:pPr>
              <w:jc w:val="center"/>
              <w:rPr>
                <w:color w:val="auto"/>
                <w:sz w:val="24"/>
                <w:highlight w:val="none"/>
              </w:rPr>
            </w:pPr>
          </w:p>
        </w:tc>
      </w:tr>
      <w:tr w14:paraId="41E64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25875702">
            <w:pPr>
              <w:jc w:val="center"/>
              <w:rPr>
                <w:color w:val="auto"/>
                <w:sz w:val="24"/>
                <w:highlight w:val="none"/>
              </w:rPr>
            </w:pPr>
          </w:p>
        </w:tc>
        <w:tc>
          <w:tcPr>
            <w:tcW w:w="1482" w:type="dxa"/>
            <w:vAlign w:val="center"/>
          </w:tcPr>
          <w:p w14:paraId="1F682B42">
            <w:pPr>
              <w:jc w:val="center"/>
              <w:rPr>
                <w:color w:val="auto"/>
                <w:sz w:val="24"/>
                <w:highlight w:val="none"/>
              </w:rPr>
            </w:pPr>
          </w:p>
        </w:tc>
        <w:tc>
          <w:tcPr>
            <w:tcW w:w="2384" w:type="dxa"/>
            <w:vAlign w:val="center"/>
          </w:tcPr>
          <w:p w14:paraId="491DCF4E">
            <w:pPr>
              <w:jc w:val="center"/>
              <w:rPr>
                <w:color w:val="auto"/>
                <w:sz w:val="24"/>
                <w:highlight w:val="none"/>
              </w:rPr>
            </w:pPr>
          </w:p>
        </w:tc>
        <w:tc>
          <w:tcPr>
            <w:tcW w:w="2126" w:type="dxa"/>
            <w:vAlign w:val="center"/>
          </w:tcPr>
          <w:p w14:paraId="05C51258">
            <w:pPr>
              <w:jc w:val="center"/>
              <w:rPr>
                <w:color w:val="auto"/>
                <w:sz w:val="24"/>
                <w:highlight w:val="none"/>
              </w:rPr>
            </w:pPr>
          </w:p>
        </w:tc>
        <w:tc>
          <w:tcPr>
            <w:tcW w:w="1875" w:type="dxa"/>
            <w:vAlign w:val="center"/>
          </w:tcPr>
          <w:p w14:paraId="12B34952">
            <w:pPr>
              <w:jc w:val="center"/>
              <w:rPr>
                <w:color w:val="auto"/>
                <w:sz w:val="24"/>
                <w:highlight w:val="none"/>
              </w:rPr>
            </w:pPr>
          </w:p>
        </w:tc>
        <w:tc>
          <w:tcPr>
            <w:tcW w:w="1009" w:type="dxa"/>
            <w:vAlign w:val="center"/>
          </w:tcPr>
          <w:p w14:paraId="0E951D28">
            <w:pPr>
              <w:jc w:val="center"/>
              <w:rPr>
                <w:color w:val="auto"/>
                <w:sz w:val="24"/>
                <w:highlight w:val="none"/>
              </w:rPr>
            </w:pPr>
          </w:p>
        </w:tc>
      </w:tr>
      <w:tr w14:paraId="3E20A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0977A2AC">
            <w:pPr>
              <w:jc w:val="center"/>
              <w:rPr>
                <w:color w:val="auto"/>
                <w:sz w:val="24"/>
                <w:highlight w:val="none"/>
              </w:rPr>
            </w:pPr>
          </w:p>
        </w:tc>
        <w:tc>
          <w:tcPr>
            <w:tcW w:w="1482" w:type="dxa"/>
            <w:vAlign w:val="center"/>
          </w:tcPr>
          <w:p w14:paraId="6436E586">
            <w:pPr>
              <w:jc w:val="center"/>
              <w:rPr>
                <w:color w:val="auto"/>
                <w:sz w:val="24"/>
                <w:highlight w:val="none"/>
              </w:rPr>
            </w:pPr>
          </w:p>
        </w:tc>
        <w:tc>
          <w:tcPr>
            <w:tcW w:w="2384" w:type="dxa"/>
            <w:vAlign w:val="center"/>
          </w:tcPr>
          <w:p w14:paraId="1BF3B45A">
            <w:pPr>
              <w:jc w:val="center"/>
              <w:rPr>
                <w:color w:val="auto"/>
                <w:sz w:val="24"/>
                <w:highlight w:val="none"/>
              </w:rPr>
            </w:pPr>
          </w:p>
        </w:tc>
        <w:tc>
          <w:tcPr>
            <w:tcW w:w="2126" w:type="dxa"/>
            <w:vAlign w:val="center"/>
          </w:tcPr>
          <w:p w14:paraId="478CDF7A">
            <w:pPr>
              <w:jc w:val="center"/>
              <w:rPr>
                <w:color w:val="auto"/>
                <w:sz w:val="24"/>
                <w:highlight w:val="none"/>
              </w:rPr>
            </w:pPr>
          </w:p>
        </w:tc>
        <w:tc>
          <w:tcPr>
            <w:tcW w:w="1875" w:type="dxa"/>
            <w:vAlign w:val="center"/>
          </w:tcPr>
          <w:p w14:paraId="0C7A17A2">
            <w:pPr>
              <w:jc w:val="center"/>
              <w:rPr>
                <w:color w:val="auto"/>
                <w:sz w:val="24"/>
                <w:highlight w:val="none"/>
              </w:rPr>
            </w:pPr>
          </w:p>
        </w:tc>
        <w:tc>
          <w:tcPr>
            <w:tcW w:w="1009" w:type="dxa"/>
            <w:vAlign w:val="center"/>
          </w:tcPr>
          <w:p w14:paraId="4FECF3F9">
            <w:pPr>
              <w:jc w:val="center"/>
              <w:rPr>
                <w:color w:val="auto"/>
                <w:sz w:val="24"/>
                <w:highlight w:val="none"/>
              </w:rPr>
            </w:pPr>
          </w:p>
        </w:tc>
      </w:tr>
    </w:tbl>
    <w:p w14:paraId="508407EA">
      <w:pPr>
        <w:tabs>
          <w:tab w:val="left" w:pos="1800"/>
          <w:tab w:val="left" w:pos="5580"/>
        </w:tabs>
        <w:spacing w:line="360" w:lineRule="auto"/>
        <w:ind w:firstLine="360"/>
        <w:jc w:val="left"/>
        <w:rPr>
          <w:color w:val="auto"/>
          <w:sz w:val="24"/>
          <w:highlight w:val="none"/>
          <w:u w:val="single"/>
        </w:rPr>
      </w:pPr>
    </w:p>
    <w:p w14:paraId="4A5EB648">
      <w:pPr>
        <w:tabs>
          <w:tab w:val="left" w:pos="1800"/>
          <w:tab w:val="left" w:pos="5580"/>
        </w:tabs>
        <w:spacing w:line="360" w:lineRule="auto"/>
        <w:ind w:firstLine="360"/>
        <w:jc w:val="left"/>
        <w:rPr>
          <w:color w:val="auto"/>
          <w:sz w:val="24"/>
          <w:highlight w:val="none"/>
          <w:u w:val="single"/>
        </w:rPr>
      </w:pPr>
    </w:p>
    <w:p w14:paraId="624EC634">
      <w:pPr>
        <w:tabs>
          <w:tab w:val="left" w:pos="1800"/>
          <w:tab w:val="left" w:pos="5580"/>
        </w:tabs>
        <w:jc w:val="left"/>
        <w:rPr>
          <w:color w:val="auto"/>
          <w:sz w:val="24"/>
          <w:highlight w:val="none"/>
        </w:rPr>
      </w:pPr>
      <w:r>
        <w:rPr>
          <w:color w:val="auto"/>
          <w:sz w:val="24"/>
          <w:highlight w:val="none"/>
        </w:rPr>
        <w:t>注：</w:t>
      </w:r>
    </w:p>
    <w:p w14:paraId="7A440D73">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xml:space="preserve"> 对磋商文件中的所有商务、技术要求，除本表所列明的所有偏离外，均视作供应商已对之理解和</w:t>
      </w:r>
      <w:r>
        <w:rPr>
          <w:rFonts w:hint="eastAsia"/>
          <w:color w:val="auto"/>
          <w:sz w:val="24"/>
          <w:highlight w:val="none"/>
        </w:rPr>
        <w:t>响应</w:t>
      </w:r>
      <w:r>
        <w:rPr>
          <w:color w:val="auto"/>
          <w:sz w:val="24"/>
          <w:highlight w:val="none"/>
        </w:rPr>
        <w:t>。此表中若无任何文字说明，内容为空白，则</w:t>
      </w:r>
      <w:r>
        <w:rPr>
          <w:b/>
          <w:color w:val="auto"/>
          <w:sz w:val="24"/>
          <w:highlight w:val="none"/>
        </w:rPr>
        <w:t>响应无效</w:t>
      </w:r>
      <w:r>
        <w:rPr>
          <w:color w:val="auto"/>
          <w:sz w:val="24"/>
          <w:highlight w:val="none"/>
        </w:rPr>
        <w:t>。</w:t>
      </w:r>
    </w:p>
    <w:p w14:paraId="28E9FC46">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“偏离情况”列应据实填写“正偏离”或“负偏离”。</w:t>
      </w:r>
    </w:p>
    <w:p w14:paraId="0E5B1265">
      <w:pPr>
        <w:tabs>
          <w:tab w:val="left" w:pos="1800"/>
          <w:tab w:val="left" w:pos="5580"/>
        </w:tabs>
        <w:jc w:val="left"/>
        <w:rPr>
          <w:color w:val="auto"/>
          <w:sz w:val="24"/>
          <w:highlight w:val="none"/>
        </w:rPr>
      </w:pPr>
      <w:r>
        <w:rPr>
          <w:rFonts w:hint="eastAsia"/>
          <w:color w:val="auto"/>
          <w:sz w:val="24"/>
          <w:highlight w:val="none"/>
        </w:rPr>
        <w:t>3.如无偏离，请在表格中填“无偏离”。</w:t>
      </w:r>
    </w:p>
    <w:p w14:paraId="2DD2FD00">
      <w:pPr>
        <w:tabs>
          <w:tab w:val="left" w:pos="1800"/>
          <w:tab w:val="left" w:pos="5580"/>
        </w:tabs>
        <w:jc w:val="left"/>
        <w:rPr>
          <w:color w:val="auto"/>
          <w:sz w:val="24"/>
          <w:highlight w:val="none"/>
        </w:rPr>
      </w:pPr>
    </w:p>
    <w:p w14:paraId="00DDC50E">
      <w:pPr>
        <w:rPr>
          <w:color w:val="auto"/>
          <w:sz w:val="24"/>
          <w:szCs w:val="20"/>
          <w:highlight w:val="none"/>
        </w:rPr>
      </w:pPr>
    </w:p>
    <w:p w14:paraId="2C22C30A">
      <w:pPr>
        <w:spacing w:before="25" w:after="25" w:line="360" w:lineRule="auto"/>
        <w:rPr>
          <w:color w:val="auto"/>
          <w:sz w:val="24"/>
          <w:highlight w:val="none"/>
          <w:lang w:val="zh-CN"/>
        </w:rPr>
      </w:pPr>
    </w:p>
    <w:p w14:paraId="35A8B5AE">
      <w:pPr>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：____________</w:t>
      </w:r>
    </w:p>
    <w:p w14:paraId="7931AC84">
      <w:pPr>
        <w:spacing w:before="25" w:after="25" w:line="360" w:lineRule="auto"/>
        <w:rPr>
          <w:color w:val="auto"/>
          <w:sz w:val="24"/>
          <w:highlight w:val="none"/>
          <w:lang w:val="zh-CN"/>
        </w:rPr>
      </w:pPr>
      <w:r>
        <w:rPr>
          <w:color w:val="auto"/>
          <w:sz w:val="24"/>
          <w:szCs w:val="20"/>
          <w:highlight w:val="none"/>
        </w:rPr>
        <w:t>日期：</w:t>
      </w:r>
      <w:r>
        <w:rPr>
          <w:color w:val="auto"/>
          <w:sz w:val="24"/>
          <w:highlight w:val="none"/>
          <w:lang w:val="zh-CN"/>
        </w:rPr>
        <w:t>____________</w:t>
      </w:r>
      <w:r>
        <w:rPr>
          <w:color w:val="auto"/>
          <w:sz w:val="24"/>
          <w:szCs w:val="20"/>
          <w:highlight w:val="none"/>
        </w:rPr>
        <w:t xml:space="preserve">年______月______日   </w:t>
      </w:r>
    </w:p>
    <w:p w14:paraId="0196233A">
      <w:pPr>
        <w:jc w:val="left"/>
        <w:rPr>
          <w:color w:val="auto"/>
          <w:szCs w:val="21"/>
          <w:highlight w:val="none"/>
          <w:vertAlign w:val="superscript"/>
        </w:rPr>
      </w:pPr>
      <w:r>
        <w:rPr>
          <w:color w:val="auto"/>
          <w:sz w:val="24"/>
          <w:szCs w:val="20"/>
          <w:highlight w:val="none"/>
        </w:rPr>
        <w:br w:type="page" w:clear="all"/>
      </w:r>
    </w:p>
    <w:p w14:paraId="6B5DA317">
      <w:pPr>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1</w:t>
      </w:r>
      <w:r>
        <w:rPr>
          <w:rFonts w:hint="eastAsia" w:ascii="宋体" w:hAnsi="宋体" w:cs="宋体"/>
          <w:b/>
          <w:bCs/>
          <w:color w:val="auto"/>
          <w:sz w:val="24"/>
          <w:szCs w:val="20"/>
          <w:highlight w:val="none"/>
          <w:lang w:val="en-US" w:eastAsia="zh-CN"/>
        </w:rPr>
        <w:t>3</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项目实施方案等，包括但不限于如下主题：</w:t>
      </w:r>
    </w:p>
    <w:p w14:paraId="46E5C8CE">
      <w:pPr>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1）项目组织实施方案；</w:t>
      </w:r>
    </w:p>
    <w:p w14:paraId="3E88D0F3">
      <w:pPr>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2）项目管理方案；</w:t>
      </w:r>
    </w:p>
    <w:p w14:paraId="64F1608A">
      <w:pPr>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3）拟达到的标准，配备的人员、设备配置等；</w:t>
      </w:r>
    </w:p>
    <w:p w14:paraId="69C36769">
      <w:pPr>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4）培训方案、技术支持等方案；</w:t>
      </w:r>
    </w:p>
    <w:p w14:paraId="54B85927">
      <w:pPr>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5）优惠条款或承诺；</w:t>
      </w:r>
    </w:p>
    <w:p w14:paraId="2CF51C8D">
      <w:pPr>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6）其他。</w:t>
      </w:r>
    </w:p>
    <w:p w14:paraId="3F27CF30">
      <w:pPr>
        <w:rPr>
          <w:color w:val="auto"/>
          <w:sz w:val="24"/>
          <w:szCs w:val="20"/>
          <w:highlight w:val="none"/>
        </w:rPr>
      </w:pPr>
    </w:p>
    <w:p w14:paraId="2C5C4C63">
      <w:pPr>
        <w:rPr>
          <w:rFonts w:hint="eastAsia" w:ascii="宋体" w:hAnsi="宋体" w:eastAsia="宋体" w:cs="宋体"/>
          <w:b/>
          <w:bCs/>
          <w:color w:val="auto"/>
          <w:sz w:val="24"/>
          <w:szCs w:val="24"/>
          <w:highlight w:val="none"/>
        </w:rPr>
      </w:pPr>
      <w:r>
        <w:rPr>
          <w:color w:val="auto"/>
          <w:sz w:val="24"/>
          <w:szCs w:val="20"/>
          <w:highlight w:val="none"/>
        </w:rPr>
        <w:br w:type="page" w:clear="all"/>
      </w:r>
      <w:r>
        <w:rPr>
          <w:rFonts w:hint="eastAsia" w:ascii="宋体" w:hAnsi="宋体" w:eastAsia="宋体" w:cs="宋体"/>
          <w:b/>
          <w:bCs/>
          <w:color w:val="auto"/>
          <w:sz w:val="24"/>
          <w:szCs w:val="24"/>
          <w:highlight w:val="none"/>
        </w:rPr>
        <w:t>1</w:t>
      </w: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 xml:space="preserve"> 参加本项目人员一览表</w:t>
      </w:r>
    </w:p>
    <w:p w14:paraId="7D633602">
      <w:pPr>
        <w:spacing w:line="360" w:lineRule="auto"/>
        <w:jc w:val="center"/>
        <w:rPr>
          <w:rFonts w:hint="eastAsia" w:ascii="宋体" w:hAnsi="宋体" w:eastAsia="宋体" w:cs="宋体"/>
          <w:b/>
          <w:color w:val="auto"/>
          <w:sz w:val="24"/>
          <w:szCs w:val="24"/>
          <w:highlight w:val="none"/>
        </w:rPr>
      </w:pPr>
    </w:p>
    <w:p w14:paraId="2763A8FC">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参加本项目人员一览表</w:t>
      </w:r>
    </w:p>
    <w:p w14:paraId="6405ACC2">
      <w:pPr>
        <w:spacing w:line="360" w:lineRule="auto"/>
        <w:rPr>
          <w:rFonts w:hint="eastAsia" w:ascii="宋体" w:hAnsi="宋体" w:eastAsia="宋体" w:cs="宋体"/>
          <w:color w:val="auto"/>
          <w:sz w:val="24"/>
          <w:szCs w:val="24"/>
          <w:highlight w:val="none"/>
        </w:rPr>
      </w:pPr>
    </w:p>
    <w:p w14:paraId="79F54CE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tbl>
      <w:tblPr>
        <w:tblStyle w:val="36"/>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2F99B79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vAlign w:val="center"/>
          </w:tcPr>
          <w:p w14:paraId="722A06F1">
            <w:pPr>
              <w:tabs>
                <w:tab w:val="left" w:pos="9765"/>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945" w:type="dxa"/>
            <w:tcBorders>
              <w:top w:val="single" w:color="000000" w:sz="4" w:space="0"/>
              <w:left w:val="single" w:color="000000" w:sz="4" w:space="0"/>
              <w:bottom w:val="single" w:color="000000" w:sz="4" w:space="0"/>
              <w:right w:val="single" w:color="000000" w:sz="4" w:space="0"/>
            </w:tcBorders>
            <w:vAlign w:val="center"/>
          </w:tcPr>
          <w:p w14:paraId="216D844D">
            <w:pPr>
              <w:tabs>
                <w:tab w:val="left" w:pos="9765"/>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945" w:type="dxa"/>
            <w:tcBorders>
              <w:top w:val="single" w:color="000000" w:sz="4" w:space="0"/>
              <w:left w:val="single" w:color="000000" w:sz="4" w:space="0"/>
              <w:bottom w:val="single" w:color="000000" w:sz="4" w:space="0"/>
              <w:right w:val="single" w:color="000000" w:sz="4" w:space="0"/>
            </w:tcBorders>
            <w:vAlign w:val="center"/>
          </w:tcPr>
          <w:p w14:paraId="48807091">
            <w:pPr>
              <w:tabs>
                <w:tab w:val="left" w:pos="9765"/>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性别</w:t>
            </w:r>
          </w:p>
        </w:tc>
        <w:tc>
          <w:tcPr>
            <w:tcW w:w="945" w:type="dxa"/>
            <w:tcBorders>
              <w:top w:val="single" w:color="000000" w:sz="4" w:space="0"/>
              <w:left w:val="single" w:color="000000" w:sz="4" w:space="0"/>
              <w:bottom w:val="single" w:color="000000" w:sz="4" w:space="0"/>
              <w:right w:val="single" w:color="000000" w:sz="4" w:space="0"/>
            </w:tcBorders>
            <w:vAlign w:val="center"/>
          </w:tcPr>
          <w:p w14:paraId="6C12502D">
            <w:pPr>
              <w:tabs>
                <w:tab w:val="left" w:pos="9765"/>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945" w:type="dxa"/>
            <w:tcBorders>
              <w:top w:val="single" w:color="000000" w:sz="4" w:space="0"/>
              <w:left w:val="single" w:color="000000" w:sz="4" w:space="0"/>
              <w:bottom w:val="single" w:color="000000" w:sz="4" w:space="0"/>
              <w:right w:val="single" w:color="000000" w:sz="4" w:space="0"/>
            </w:tcBorders>
            <w:vAlign w:val="center"/>
          </w:tcPr>
          <w:p w14:paraId="798245B4">
            <w:pPr>
              <w:tabs>
                <w:tab w:val="left" w:pos="9765"/>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毕业学校和学历</w:t>
            </w:r>
          </w:p>
        </w:tc>
        <w:tc>
          <w:tcPr>
            <w:tcW w:w="945" w:type="dxa"/>
            <w:tcBorders>
              <w:top w:val="single" w:color="000000" w:sz="4" w:space="0"/>
              <w:left w:val="single" w:color="000000" w:sz="4" w:space="0"/>
              <w:bottom w:val="single" w:color="000000" w:sz="4" w:space="0"/>
              <w:right w:val="single" w:color="000000" w:sz="4" w:space="0"/>
            </w:tcBorders>
            <w:vAlign w:val="center"/>
          </w:tcPr>
          <w:p w14:paraId="72924DB8">
            <w:pPr>
              <w:tabs>
                <w:tab w:val="left" w:pos="9765"/>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w:t>
            </w:r>
          </w:p>
        </w:tc>
        <w:tc>
          <w:tcPr>
            <w:tcW w:w="945" w:type="dxa"/>
            <w:tcBorders>
              <w:top w:val="single" w:color="000000" w:sz="4" w:space="0"/>
              <w:left w:val="single" w:color="000000" w:sz="4" w:space="0"/>
              <w:bottom w:val="single" w:color="000000" w:sz="4" w:space="0"/>
              <w:right w:val="single" w:color="000000" w:sz="4" w:space="0"/>
            </w:tcBorders>
            <w:vAlign w:val="center"/>
          </w:tcPr>
          <w:p w14:paraId="68FD4FC3">
            <w:pPr>
              <w:tabs>
                <w:tab w:val="left" w:pos="9765"/>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945" w:type="dxa"/>
            <w:tcBorders>
              <w:top w:val="single" w:color="000000" w:sz="4" w:space="0"/>
              <w:left w:val="single" w:color="000000" w:sz="4" w:space="0"/>
              <w:bottom w:val="single" w:color="000000" w:sz="4" w:space="0"/>
              <w:right w:val="single" w:color="000000" w:sz="4" w:space="0"/>
            </w:tcBorders>
            <w:vAlign w:val="center"/>
          </w:tcPr>
          <w:p w14:paraId="0DCE5264">
            <w:pPr>
              <w:tabs>
                <w:tab w:val="left" w:pos="9765"/>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专业培训及证书</w:t>
            </w:r>
          </w:p>
        </w:tc>
        <w:tc>
          <w:tcPr>
            <w:tcW w:w="945" w:type="dxa"/>
            <w:tcBorders>
              <w:top w:val="single" w:color="000000" w:sz="4" w:space="0"/>
              <w:left w:val="single" w:color="000000" w:sz="4" w:space="0"/>
              <w:bottom w:val="single" w:color="000000" w:sz="4" w:space="0"/>
              <w:right w:val="single" w:color="000000" w:sz="4" w:space="0"/>
            </w:tcBorders>
            <w:vAlign w:val="center"/>
          </w:tcPr>
          <w:p w14:paraId="7EBE1670">
            <w:pPr>
              <w:tabs>
                <w:tab w:val="left" w:pos="9765"/>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责任</w:t>
            </w:r>
          </w:p>
          <w:p w14:paraId="27DE51A2">
            <w:pPr>
              <w:tabs>
                <w:tab w:val="left" w:pos="9765"/>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或分工</w:t>
            </w:r>
          </w:p>
        </w:tc>
        <w:tc>
          <w:tcPr>
            <w:tcW w:w="945" w:type="dxa"/>
            <w:tcBorders>
              <w:top w:val="single" w:color="000000" w:sz="4" w:space="0"/>
              <w:left w:val="single" w:color="000000" w:sz="4" w:space="0"/>
              <w:bottom w:val="single" w:color="000000" w:sz="4" w:space="0"/>
              <w:right w:val="single" w:color="000000" w:sz="4" w:space="0"/>
            </w:tcBorders>
            <w:vAlign w:val="center"/>
          </w:tcPr>
          <w:p w14:paraId="7758CFDA">
            <w:pPr>
              <w:tabs>
                <w:tab w:val="left" w:pos="9765"/>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项目经历或主要工作</w:t>
            </w:r>
          </w:p>
          <w:p w14:paraId="65CD728D">
            <w:pPr>
              <w:tabs>
                <w:tab w:val="left" w:pos="9765"/>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tc>
      </w:tr>
      <w:tr w14:paraId="44D0CC7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475F484D">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1E49EF0F">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6F64A064">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732F6A08">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34CAA196">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6DB526D7">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01AE9522">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7C430139">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0888E551">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3BBE3B20">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0D56BF4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5ACABE86">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6FBA3C9C">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6101A827">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7230EFBE">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29461111">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3AB5AB87">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4BCD646B">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0BF0CD39">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5BFDEE9D">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21EC3E76">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2546C6B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PrEx>
        <w:tc>
          <w:tcPr>
            <w:tcW w:w="945" w:type="dxa"/>
            <w:tcBorders>
              <w:top w:val="single" w:color="000000" w:sz="4" w:space="0"/>
              <w:left w:val="single" w:color="000000" w:sz="4" w:space="0"/>
              <w:bottom w:val="single" w:color="000000" w:sz="4" w:space="0"/>
              <w:right w:val="single" w:color="000000" w:sz="4" w:space="0"/>
            </w:tcBorders>
          </w:tcPr>
          <w:p w14:paraId="7920AF3A">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E10F8B0">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5ED3B276">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36613BD7">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D016730">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68662152">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4BC8B3F8">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570ADCC6">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0BC6C1D8">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439317EC">
            <w:pPr>
              <w:tabs>
                <w:tab w:val="left" w:pos="9765"/>
              </w:tabs>
              <w:spacing w:line="360" w:lineRule="auto"/>
              <w:rPr>
                <w:rFonts w:hint="eastAsia" w:ascii="宋体" w:hAnsi="宋体" w:eastAsia="宋体" w:cs="宋体"/>
                <w:color w:val="auto"/>
                <w:sz w:val="24"/>
                <w:szCs w:val="24"/>
                <w:highlight w:val="none"/>
              </w:rPr>
            </w:pPr>
          </w:p>
        </w:tc>
      </w:tr>
      <w:tr w14:paraId="41DF774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6CB89C03">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BE685FF">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328D6DF4">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3FEA7F8">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45C1096A">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0C03EDCA">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0EC4E05">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5B93AED">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5951E2D6">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7C5E4574">
            <w:pPr>
              <w:tabs>
                <w:tab w:val="left" w:pos="9765"/>
              </w:tabs>
              <w:spacing w:line="360" w:lineRule="auto"/>
              <w:rPr>
                <w:rFonts w:hint="eastAsia" w:ascii="宋体" w:hAnsi="宋体" w:eastAsia="宋体" w:cs="宋体"/>
                <w:color w:val="auto"/>
                <w:sz w:val="24"/>
                <w:szCs w:val="24"/>
                <w:highlight w:val="none"/>
              </w:rPr>
            </w:pPr>
          </w:p>
        </w:tc>
      </w:tr>
      <w:tr w14:paraId="16807BB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1666C44D">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27FCB102">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09B3EE95">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3B77E95C">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69C8079A">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3F9A776">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6AE4DB7">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5BA6EDB7">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6D204EEB">
            <w:pPr>
              <w:tabs>
                <w:tab w:val="left" w:pos="9765"/>
              </w:tabs>
              <w:spacing w:line="360" w:lineRule="auto"/>
              <w:rPr>
                <w:rFonts w:hint="eastAsia" w:ascii="宋体" w:hAnsi="宋体" w:eastAsia="宋体" w:cs="宋体"/>
                <w:color w:val="auto"/>
                <w:sz w:val="24"/>
                <w:szCs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48B9588C">
            <w:pPr>
              <w:tabs>
                <w:tab w:val="left" w:pos="9765"/>
              </w:tabs>
              <w:spacing w:line="360" w:lineRule="auto"/>
              <w:rPr>
                <w:rFonts w:hint="eastAsia" w:ascii="宋体" w:hAnsi="宋体" w:eastAsia="宋体" w:cs="宋体"/>
                <w:color w:val="auto"/>
                <w:sz w:val="24"/>
                <w:szCs w:val="24"/>
                <w:highlight w:val="none"/>
              </w:rPr>
            </w:pPr>
          </w:p>
        </w:tc>
      </w:tr>
      <w:tr w14:paraId="5618FFD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40ECE3FF">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6695AC20">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2D3D1A43">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4F093FC5">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188818D6">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115B8C86">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437D2463">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2134F0CD">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0317E5D6">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41AD3B26">
            <w:pPr>
              <w:tabs>
                <w:tab w:val="left" w:pos="97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bl>
    <w:p w14:paraId="2887D573">
      <w:pPr>
        <w:tabs>
          <w:tab w:val="left" w:pos="9765"/>
        </w:tabs>
        <w:rPr>
          <w:rFonts w:hint="eastAsia" w:ascii="宋体" w:hAnsi="宋体" w:eastAsia="宋体" w:cs="宋体"/>
          <w:b/>
          <w:color w:val="auto"/>
          <w:sz w:val="24"/>
          <w:szCs w:val="24"/>
          <w:highlight w:val="none"/>
          <w:lang w:val="zh-CN"/>
        </w:rPr>
      </w:pPr>
    </w:p>
    <w:p w14:paraId="4D403229">
      <w:pPr>
        <w:tabs>
          <w:tab w:val="left" w:pos="9765"/>
        </w:tabs>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注：参加本项目人员须是供应商正式职工。</w:t>
      </w:r>
    </w:p>
    <w:p w14:paraId="186D3183">
      <w:pPr>
        <w:spacing w:line="360" w:lineRule="auto"/>
        <w:rPr>
          <w:rFonts w:hint="eastAsia" w:ascii="宋体" w:hAnsi="宋体" w:eastAsia="宋体" w:cs="宋体"/>
          <w:color w:val="auto"/>
          <w:sz w:val="24"/>
          <w:szCs w:val="24"/>
          <w:highlight w:val="none"/>
        </w:rPr>
      </w:pPr>
    </w:p>
    <w:p w14:paraId="199654C3">
      <w:pPr>
        <w:spacing w:before="25" w:after="25"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供应商名称（加盖公章）</w:t>
      </w:r>
      <w:r>
        <w:rPr>
          <w:rFonts w:hint="eastAsia" w:ascii="宋体" w:hAnsi="宋体" w:eastAsia="宋体" w:cs="宋体"/>
          <w:color w:val="auto"/>
          <w:sz w:val="24"/>
          <w:szCs w:val="24"/>
          <w:highlight w:val="none"/>
          <w:lang w:val="zh-CN"/>
        </w:rPr>
        <w:t>：____________</w:t>
      </w:r>
    </w:p>
    <w:p w14:paraId="14696F95">
      <w:pPr>
        <w:spacing w:before="25" w:after="25"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zh-CN"/>
        </w:rPr>
        <w:t>____________</w:t>
      </w:r>
      <w:r>
        <w:rPr>
          <w:rFonts w:hint="eastAsia" w:ascii="宋体" w:hAnsi="宋体" w:eastAsia="宋体" w:cs="宋体"/>
          <w:color w:val="auto"/>
          <w:sz w:val="24"/>
          <w:szCs w:val="24"/>
          <w:highlight w:val="none"/>
        </w:rPr>
        <w:t xml:space="preserve">年______月______日   </w:t>
      </w:r>
    </w:p>
    <w:p w14:paraId="0CC3EA5C">
      <w:pPr>
        <w:rPr>
          <w:rFonts w:hint="eastAsia" w:ascii="宋体" w:hAnsi="宋体" w:eastAsia="宋体" w:cs="宋体"/>
          <w:b/>
          <w:bCs/>
          <w:color w:val="auto"/>
          <w:sz w:val="24"/>
          <w:szCs w:val="24"/>
          <w:highlight w:val="none"/>
        </w:rPr>
      </w:pPr>
      <w:r>
        <w:rPr>
          <w:color w:val="auto"/>
          <w:sz w:val="22"/>
          <w:highlight w:val="none"/>
        </w:rPr>
        <w:br w:type="page" w:clear="all"/>
      </w:r>
      <w:bookmarkStart w:id="740" w:name="_Toc288738839"/>
      <w:bookmarkStart w:id="741" w:name="_Toc288738397"/>
      <w:r>
        <w:rPr>
          <w:rFonts w:hint="eastAsia" w:ascii="宋体" w:hAnsi="宋体" w:eastAsia="宋体" w:cs="宋体"/>
          <w:b/>
          <w:bCs/>
          <w:color w:val="auto"/>
          <w:sz w:val="24"/>
          <w:szCs w:val="24"/>
          <w:highlight w:val="none"/>
        </w:rPr>
        <w:t>1</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 xml:space="preserve">  相关业绩案例一览表</w:t>
      </w:r>
    </w:p>
    <w:p w14:paraId="3839FA34">
      <w:pPr>
        <w:rPr>
          <w:rFonts w:hint="eastAsia" w:ascii="宋体" w:hAnsi="宋体" w:eastAsia="宋体" w:cs="宋体"/>
          <w:color w:val="auto"/>
          <w:sz w:val="24"/>
          <w:szCs w:val="24"/>
          <w:highlight w:val="none"/>
        </w:rPr>
      </w:pPr>
    </w:p>
    <w:p w14:paraId="5C5D0BE3">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相关业绩案例一览表</w:t>
      </w:r>
      <w:bookmarkEnd w:id="740"/>
      <w:bookmarkEnd w:id="741"/>
    </w:p>
    <w:p w14:paraId="29B97ECE">
      <w:pPr>
        <w:spacing w:line="360" w:lineRule="auto"/>
        <w:jc w:val="center"/>
        <w:rPr>
          <w:rFonts w:hint="eastAsia" w:ascii="宋体" w:hAnsi="宋体" w:eastAsia="宋体" w:cs="宋体"/>
          <w:b/>
          <w:color w:val="auto"/>
          <w:sz w:val="24"/>
          <w:szCs w:val="24"/>
          <w:highlight w:val="none"/>
        </w:rPr>
      </w:pPr>
    </w:p>
    <w:p w14:paraId="54E788C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tbl>
      <w:tblPr>
        <w:tblStyle w:val="36"/>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3042DCE">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20E1ADE6">
            <w:pPr>
              <w:tabs>
                <w:tab w:val="left" w:pos="9765"/>
              </w:tabs>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14:paraId="09014E33">
            <w:pPr>
              <w:tabs>
                <w:tab w:val="left" w:pos="9765"/>
              </w:tabs>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14:paraId="3F6A974C">
            <w:pPr>
              <w:tabs>
                <w:tab w:val="left" w:pos="9765"/>
              </w:tabs>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14:paraId="12627307">
            <w:pPr>
              <w:tabs>
                <w:tab w:val="left" w:pos="9765"/>
              </w:tabs>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14:paraId="4645BB12">
            <w:pPr>
              <w:tabs>
                <w:tab w:val="left" w:pos="9765"/>
              </w:tabs>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14:paraId="59F46855">
            <w:pPr>
              <w:tabs>
                <w:tab w:val="left" w:pos="9765"/>
              </w:tabs>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联系电话</w:t>
            </w:r>
          </w:p>
        </w:tc>
      </w:tr>
      <w:tr w14:paraId="7487A41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56A11C2D">
            <w:pPr>
              <w:tabs>
                <w:tab w:val="left" w:pos="9765"/>
              </w:tabs>
              <w:spacing w:line="360" w:lineRule="auto"/>
              <w:jc w:val="center"/>
              <w:rPr>
                <w:rFonts w:hint="eastAsia" w:ascii="宋体" w:hAnsi="宋体" w:eastAsia="宋体" w:cs="宋体"/>
                <w:color w:val="auto"/>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2F5131B3">
            <w:pPr>
              <w:tabs>
                <w:tab w:val="left" w:pos="9765"/>
              </w:tabs>
              <w:spacing w:line="360" w:lineRule="auto"/>
              <w:jc w:val="center"/>
              <w:rPr>
                <w:rFonts w:hint="eastAsia" w:ascii="宋体" w:hAnsi="宋体" w:eastAsia="宋体" w:cs="宋体"/>
                <w:color w:val="auto"/>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6FE8BD17">
            <w:pPr>
              <w:tabs>
                <w:tab w:val="left" w:pos="9765"/>
              </w:tabs>
              <w:spacing w:line="360" w:lineRule="auto"/>
              <w:jc w:val="center"/>
              <w:rPr>
                <w:rFonts w:hint="eastAsia" w:ascii="宋体" w:hAnsi="宋体" w:eastAsia="宋体" w:cs="宋体"/>
                <w:color w:val="auto"/>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0D8FEED9">
            <w:pPr>
              <w:tabs>
                <w:tab w:val="left" w:pos="9765"/>
              </w:tabs>
              <w:spacing w:line="360" w:lineRule="auto"/>
              <w:jc w:val="center"/>
              <w:rPr>
                <w:rFonts w:hint="eastAsia" w:ascii="宋体" w:hAnsi="宋体" w:eastAsia="宋体" w:cs="宋体"/>
                <w:color w:val="auto"/>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225E6233">
            <w:pPr>
              <w:tabs>
                <w:tab w:val="left" w:pos="9765"/>
              </w:tabs>
              <w:spacing w:line="360" w:lineRule="auto"/>
              <w:ind w:hanging="523"/>
              <w:jc w:val="center"/>
              <w:rPr>
                <w:rFonts w:hint="eastAsia" w:ascii="宋体" w:hAnsi="宋体" w:eastAsia="宋体" w:cs="宋体"/>
                <w:color w:val="auto"/>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02905700">
            <w:pPr>
              <w:tabs>
                <w:tab w:val="left" w:pos="9765"/>
              </w:tabs>
              <w:spacing w:line="360" w:lineRule="auto"/>
              <w:ind w:hanging="523"/>
              <w:jc w:val="center"/>
              <w:rPr>
                <w:rFonts w:hint="eastAsia" w:ascii="宋体" w:hAnsi="宋体" w:eastAsia="宋体" w:cs="宋体"/>
                <w:color w:val="auto"/>
                <w:sz w:val="24"/>
                <w:szCs w:val="24"/>
                <w:highlight w:val="none"/>
              </w:rPr>
            </w:pPr>
          </w:p>
        </w:tc>
      </w:tr>
      <w:tr w14:paraId="61D06A8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6412CE5">
            <w:pPr>
              <w:tabs>
                <w:tab w:val="left" w:pos="9765"/>
              </w:tabs>
              <w:spacing w:line="360" w:lineRule="auto"/>
              <w:rPr>
                <w:rFonts w:hint="eastAsia" w:ascii="宋体" w:hAnsi="宋体" w:eastAsia="宋体" w:cs="宋体"/>
                <w:color w:val="auto"/>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7E3A8155">
            <w:pPr>
              <w:tabs>
                <w:tab w:val="left" w:pos="9765"/>
              </w:tabs>
              <w:spacing w:line="360" w:lineRule="auto"/>
              <w:rPr>
                <w:rFonts w:hint="eastAsia" w:ascii="宋体" w:hAnsi="宋体" w:eastAsia="宋体" w:cs="宋体"/>
                <w:color w:val="auto"/>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1F38811C">
            <w:pPr>
              <w:tabs>
                <w:tab w:val="left" w:pos="9765"/>
              </w:tabs>
              <w:spacing w:line="360" w:lineRule="auto"/>
              <w:rPr>
                <w:rFonts w:hint="eastAsia" w:ascii="宋体" w:hAnsi="宋体" w:eastAsia="宋体" w:cs="宋体"/>
                <w:color w:val="auto"/>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308647D4">
            <w:pPr>
              <w:tabs>
                <w:tab w:val="left" w:pos="9765"/>
              </w:tabs>
              <w:spacing w:line="360" w:lineRule="auto"/>
              <w:rPr>
                <w:rFonts w:hint="eastAsia" w:ascii="宋体" w:hAnsi="宋体" w:eastAsia="宋体" w:cs="宋体"/>
                <w:color w:val="auto"/>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0F9B3637">
            <w:pPr>
              <w:tabs>
                <w:tab w:val="left" w:pos="9765"/>
              </w:tabs>
              <w:spacing w:line="360" w:lineRule="auto"/>
              <w:rPr>
                <w:rFonts w:hint="eastAsia" w:ascii="宋体" w:hAnsi="宋体" w:eastAsia="宋体" w:cs="宋体"/>
                <w:color w:val="auto"/>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00E4D315">
            <w:pPr>
              <w:tabs>
                <w:tab w:val="left" w:pos="9765"/>
              </w:tabs>
              <w:spacing w:line="360" w:lineRule="auto"/>
              <w:rPr>
                <w:rFonts w:hint="eastAsia" w:ascii="宋体" w:hAnsi="宋体" w:eastAsia="宋体" w:cs="宋体"/>
                <w:color w:val="auto"/>
                <w:sz w:val="24"/>
                <w:szCs w:val="24"/>
                <w:highlight w:val="none"/>
              </w:rPr>
            </w:pPr>
          </w:p>
        </w:tc>
      </w:tr>
      <w:tr w14:paraId="2F9F0E5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11F12132">
            <w:pPr>
              <w:tabs>
                <w:tab w:val="left" w:pos="9765"/>
              </w:tabs>
              <w:spacing w:line="360" w:lineRule="auto"/>
              <w:rPr>
                <w:rFonts w:hint="eastAsia" w:ascii="宋体" w:hAnsi="宋体" w:eastAsia="宋体" w:cs="宋体"/>
                <w:color w:val="auto"/>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264380E3">
            <w:pPr>
              <w:tabs>
                <w:tab w:val="left" w:pos="9765"/>
              </w:tabs>
              <w:spacing w:line="360" w:lineRule="auto"/>
              <w:rPr>
                <w:rFonts w:hint="eastAsia" w:ascii="宋体" w:hAnsi="宋体" w:eastAsia="宋体" w:cs="宋体"/>
                <w:color w:val="auto"/>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50D34881">
            <w:pPr>
              <w:tabs>
                <w:tab w:val="left" w:pos="9765"/>
              </w:tabs>
              <w:spacing w:line="360" w:lineRule="auto"/>
              <w:rPr>
                <w:rFonts w:hint="eastAsia" w:ascii="宋体" w:hAnsi="宋体" w:eastAsia="宋体" w:cs="宋体"/>
                <w:color w:val="auto"/>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301B529B">
            <w:pPr>
              <w:tabs>
                <w:tab w:val="left" w:pos="9765"/>
              </w:tabs>
              <w:spacing w:line="360" w:lineRule="auto"/>
              <w:rPr>
                <w:rFonts w:hint="eastAsia" w:ascii="宋体" w:hAnsi="宋体" w:eastAsia="宋体" w:cs="宋体"/>
                <w:color w:val="auto"/>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4ED87C4A">
            <w:pPr>
              <w:tabs>
                <w:tab w:val="left" w:pos="9765"/>
              </w:tabs>
              <w:spacing w:line="360" w:lineRule="auto"/>
              <w:rPr>
                <w:rFonts w:hint="eastAsia" w:ascii="宋体" w:hAnsi="宋体" w:eastAsia="宋体" w:cs="宋体"/>
                <w:color w:val="auto"/>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03C5FF66">
            <w:pPr>
              <w:tabs>
                <w:tab w:val="left" w:pos="9765"/>
              </w:tabs>
              <w:spacing w:line="360" w:lineRule="auto"/>
              <w:rPr>
                <w:rFonts w:hint="eastAsia" w:ascii="宋体" w:hAnsi="宋体" w:eastAsia="宋体" w:cs="宋体"/>
                <w:color w:val="auto"/>
                <w:sz w:val="24"/>
                <w:szCs w:val="24"/>
                <w:highlight w:val="none"/>
              </w:rPr>
            </w:pPr>
          </w:p>
        </w:tc>
      </w:tr>
      <w:tr w14:paraId="20BBAA9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728B07DB">
            <w:pPr>
              <w:tabs>
                <w:tab w:val="left" w:pos="9765"/>
              </w:tabs>
              <w:spacing w:line="360" w:lineRule="auto"/>
              <w:rPr>
                <w:rFonts w:hint="eastAsia" w:ascii="宋体" w:hAnsi="宋体" w:eastAsia="宋体" w:cs="宋体"/>
                <w:color w:val="auto"/>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524F548B">
            <w:pPr>
              <w:tabs>
                <w:tab w:val="left" w:pos="9765"/>
              </w:tabs>
              <w:spacing w:line="360" w:lineRule="auto"/>
              <w:rPr>
                <w:rFonts w:hint="eastAsia" w:ascii="宋体" w:hAnsi="宋体" w:eastAsia="宋体" w:cs="宋体"/>
                <w:color w:val="auto"/>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7553BC5A">
            <w:pPr>
              <w:tabs>
                <w:tab w:val="left" w:pos="9765"/>
              </w:tabs>
              <w:spacing w:line="360" w:lineRule="auto"/>
              <w:rPr>
                <w:rFonts w:hint="eastAsia" w:ascii="宋体" w:hAnsi="宋体" w:eastAsia="宋体" w:cs="宋体"/>
                <w:color w:val="auto"/>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22E600B0">
            <w:pPr>
              <w:tabs>
                <w:tab w:val="left" w:pos="9765"/>
              </w:tabs>
              <w:spacing w:line="360" w:lineRule="auto"/>
              <w:rPr>
                <w:rFonts w:hint="eastAsia" w:ascii="宋体" w:hAnsi="宋体" w:eastAsia="宋体" w:cs="宋体"/>
                <w:color w:val="auto"/>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34BA57A0">
            <w:pPr>
              <w:tabs>
                <w:tab w:val="left" w:pos="9765"/>
              </w:tabs>
              <w:spacing w:line="360" w:lineRule="auto"/>
              <w:rPr>
                <w:rFonts w:hint="eastAsia" w:ascii="宋体" w:hAnsi="宋体" w:eastAsia="宋体" w:cs="宋体"/>
                <w:color w:val="auto"/>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08EA1A3A">
            <w:pPr>
              <w:tabs>
                <w:tab w:val="left" w:pos="9765"/>
              </w:tabs>
              <w:spacing w:line="360" w:lineRule="auto"/>
              <w:rPr>
                <w:rFonts w:hint="eastAsia" w:ascii="宋体" w:hAnsi="宋体" w:eastAsia="宋体" w:cs="宋体"/>
                <w:color w:val="auto"/>
                <w:sz w:val="24"/>
                <w:szCs w:val="24"/>
                <w:highlight w:val="none"/>
              </w:rPr>
            </w:pPr>
          </w:p>
        </w:tc>
      </w:tr>
      <w:tr w14:paraId="69FB775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16B4610A">
            <w:pPr>
              <w:tabs>
                <w:tab w:val="left" w:pos="9765"/>
              </w:tabs>
              <w:spacing w:line="360" w:lineRule="auto"/>
              <w:rPr>
                <w:rFonts w:hint="eastAsia" w:ascii="宋体" w:hAnsi="宋体" w:eastAsia="宋体" w:cs="宋体"/>
                <w:color w:val="auto"/>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467DC2AE">
            <w:pPr>
              <w:tabs>
                <w:tab w:val="left" w:pos="9765"/>
              </w:tabs>
              <w:spacing w:line="360" w:lineRule="auto"/>
              <w:rPr>
                <w:rFonts w:hint="eastAsia" w:ascii="宋体" w:hAnsi="宋体" w:eastAsia="宋体" w:cs="宋体"/>
                <w:color w:val="auto"/>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39AD4329">
            <w:pPr>
              <w:tabs>
                <w:tab w:val="left" w:pos="9765"/>
              </w:tabs>
              <w:spacing w:line="360" w:lineRule="auto"/>
              <w:rPr>
                <w:rFonts w:hint="eastAsia" w:ascii="宋体" w:hAnsi="宋体" w:eastAsia="宋体" w:cs="宋体"/>
                <w:color w:val="auto"/>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0CCBCAC7">
            <w:pPr>
              <w:tabs>
                <w:tab w:val="left" w:pos="9765"/>
              </w:tabs>
              <w:spacing w:line="360" w:lineRule="auto"/>
              <w:rPr>
                <w:rFonts w:hint="eastAsia" w:ascii="宋体" w:hAnsi="宋体" w:eastAsia="宋体" w:cs="宋体"/>
                <w:color w:val="auto"/>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454CB31F">
            <w:pPr>
              <w:tabs>
                <w:tab w:val="left" w:pos="9765"/>
              </w:tabs>
              <w:spacing w:line="360" w:lineRule="auto"/>
              <w:rPr>
                <w:rFonts w:hint="eastAsia" w:ascii="宋体" w:hAnsi="宋体" w:eastAsia="宋体" w:cs="宋体"/>
                <w:color w:val="auto"/>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2321365E">
            <w:pPr>
              <w:tabs>
                <w:tab w:val="left" w:pos="9765"/>
              </w:tabs>
              <w:spacing w:line="360" w:lineRule="auto"/>
              <w:rPr>
                <w:rFonts w:hint="eastAsia" w:ascii="宋体" w:hAnsi="宋体" w:eastAsia="宋体" w:cs="宋体"/>
                <w:color w:val="auto"/>
                <w:sz w:val="24"/>
                <w:szCs w:val="24"/>
                <w:highlight w:val="none"/>
              </w:rPr>
            </w:pPr>
          </w:p>
        </w:tc>
      </w:tr>
      <w:tr w14:paraId="411E7BF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0329D5F8">
            <w:pPr>
              <w:tabs>
                <w:tab w:val="left" w:pos="9765"/>
              </w:tabs>
              <w:spacing w:line="360" w:lineRule="auto"/>
              <w:rPr>
                <w:rFonts w:hint="eastAsia" w:ascii="宋体" w:hAnsi="宋体" w:eastAsia="宋体" w:cs="宋体"/>
                <w:color w:val="auto"/>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721934E4">
            <w:pPr>
              <w:tabs>
                <w:tab w:val="left" w:pos="9765"/>
              </w:tabs>
              <w:spacing w:line="360" w:lineRule="auto"/>
              <w:rPr>
                <w:rFonts w:hint="eastAsia" w:ascii="宋体" w:hAnsi="宋体" w:eastAsia="宋体" w:cs="宋体"/>
                <w:color w:val="auto"/>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3E25BD19">
            <w:pPr>
              <w:tabs>
                <w:tab w:val="left" w:pos="9765"/>
              </w:tabs>
              <w:spacing w:line="360" w:lineRule="auto"/>
              <w:rPr>
                <w:rFonts w:hint="eastAsia" w:ascii="宋体" w:hAnsi="宋体" w:eastAsia="宋体" w:cs="宋体"/>
                <w:color w:val="auto"/>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5B200DE9">
            <w:pPr>
              <w:tabs>
                <w:tab w:val="left" w:pos="9765"/>
              </w:tabs>
              <w:spacing w:line="360" w:lineRule="auto"/>
              <w:rPr>
                <w:rFonts w:hint="eastAsia" w:ascii="宋体" w:hAnsi="宋体" w:eastAsia="宋体" w:cs="宋体"/>
                <w:color w:val="auto"/>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555559D2">
            <w:pPr>
              <w:tabs>
                <w:tab w:val="left" w:pos="9765"/>
              </w:tabs>
              <w:spacing w:line="360" w:lineRule="auto"/>
              <w:rPr>
                <w:rFonts w:hint="eastAsia" w:ascii="宋体" w:hAnsi="宋体" w:eastAsia="宋体" w:cs="宋体"/>
                <w:color w:val="auto"/>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617FADC5">
            <w:pPr>
              <w:tabs>
                <w:tab w:val="left" w:pos="9765"/>
              </w:tabs>
              <w:spacing w:line="360" w:lineRule="auto"/>
              <w:rPr>
                <w:rFonts w:hint="eastAsia" w:ascii="宋体" w:hAnsi="宋体" w:eastAsia="宋体" w:cs="宋体"/>
                <w:color w:val="auto"/>
                <w:sz w:val="24"/>
                <w:szCs w:val="24"/>
                <w:highlight w:val="none"/>
              </w:rPr>
            </w:pPr>
          </w:p>
        </w:tc>
      </w:tr>
      <w:tr w14:paraId="239B82B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C57819C">
            <w:pPr>
              <w:tabs>
                <w:tab w:val="left" w:pos="9765"/>
              </w:tabs>
              <w:spacing w:line="360" w:lineRule="auto"/>
              <w:rPr>
                <w:rFonts w:hint="eastAsia" w:ascii="宋体" w:hAnsi="宋体" w:eastAsia="宋体" w:cs="宋体"/>
                <w:color w:val="auto"/>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5367E533">
            <w:pPr>
              <w:tabs>
                <w:tab w:val="left" w:pos="9765"/>
              </w:tabs>
              <w:spacing w:line="360" w:lineRule="auto"/>
              <w:rPr>
                <w:rFonts w:hint="eastAsia" w:ascii="宋体" w:hAnsi="宋体" w:eastAsia="宋体" w:cs="宋体"/>
                <w:color w:val="auto"/>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5E02EBB6">
            <w:pPr>
              <w:tabs>
                <w:tab w:val="left" w:pos="9765"/>
              </w:tabs>
              <w:spacing w:line="360" w:lineRule="auto"/>
              <w:rPr>
                <w:rFonts w:hint="eastAsia" w:ascii="宋体" w:hAnsi="宋体" w:eastAsia="宋体" w:cs="宋体"/>
                <w:color w:val="auto"/>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420CF77E">
            <w:pPr>
              <w:tabs>
                <w:tab w:val="left" w:pos="9765"/>
              </w:tabs>
              <w:spacing w:line="360" w:lineRule="auto"/>
              <w:rPr>
                <w:rFonts w:hint="eastAsia" w:ascii="宋体" w:hAnsi="宋体" w:eastAsia="宋体" w:cs="宋体"/>
                <w:color w:val="auto"/>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483B78EC">
            <w:pPr>
              <w:tabs>
                <w:tab w:val="left" w:pos="9765"/>
              </w:tabs>
              <w:spacing w:line="360" w:lineRule="auto"/>
              <w:rPr>
                <w:rFonts w:hint="eastAsia" w:ascii="宋体" w:hAnsi="宋体" w:eastAsia="宋体" w:cs="宋体"/>
                <w:color w:val="auto"/>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28D91A4A">
            <w:pPr>
              <w:tabs>
                <w:tab w:val="left" w:pos="9765"/>
              </w:tabs>
              <w:spacing w:line="360" w:lineRule="auto"/>
              <w:rPr>
                <w:rFonts w:hint="eastAsia" w:ascii="宋体" w:hAnsi="宋体" w:eastAsia="宋体" w:cs="宋体"/>
                <w:color w:val="auto"/>
                <w:sz w:val="24"/>
                <w:szCs w:val="24"/>
                <w:highlight w:val="none"/>
              </w:rPr>
            </w:pPr>
          </w:p>
        </w:tc>
      </w:tr>
      <w:tr w14:paraId="44611E6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6931BF5B">
            <w:pPr>
              <w:tabs>
                <w:tab w:val="left" w:pos="9765"/>
              </w:tabs>
              <w:spacing w:line="360" w:lineRule="auto"/>
              <w:rPr>
                <w:rFonts w:hint="eastAsia" w:ascii="宋体" w:hAnsi="宋体" w:eastAsia="宋体" w:cs="宋体"/>
                <w:color w:val="auto"/>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10D38128">
            <w:pPr>
              <w:tabs>
                <w:tab w:val="left" w:pos="9765"/>
              </w:tabs>
              <w:spacing w:line="360" w:lineRule="auto"/>
              <w:rPr>
                <w:rFonts w:hint="eastAsia" w:ascii="宋体" w:hAnsi="宋体" w:eastAsia="宋体" w:cs="宋体"/>
                <w:color w:val="auto"/>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3E4B2641">
            <w:pPr>
              <w:tabs>
                <w:tab w:val="left" w:pos="9765"/>
              </w:tabs>
              <w:spacing w:line="360" w:lineRule="auto"/>
              <w:rPr>
                <w:rFonts w:hint="eastAsia" w:ascii="宋体" w:hAnsi="宋体" w:eastAsia="宋体" w:cs="宋体"/>
                <w:color w:val="auto"/>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5151CFFE">
            <w:pPr>
              <w:tabs>
                <w:tab w:val="left" w:pos="9765"/>
              </w:tabs>
              <w:spacing w:line="360" w:lineRule="auto"/>
              <w:rPr>
                <w:rFonts w:hint="eastAsia" w:ascii="宋体" w:hAnsi="宋体" w:eastAsia="宋体" w:cs="宋体"/>
                <w:color w:val="auto"/>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0EB8FA3D">
            <w:pPr>
              <w:tabs>
                <w:tab w:val="left" w:pos="9765"/>
              </w:tabs>
              <w:spacing w:line="360" w:lineRule="auto"/>
              <w:rPr>
                <w:rFonts w:hint="eastAsia" w:ascii="宋体" w:hAnsi="宋体" w:eastAsia="宋体" w:cs="宋体"/>
                <w:color w:val="auto"/>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19A82314">
            <w:pPr>
              <w:tabs>
                <w:tab w:val="left" w:pos="9765"/>
              </w:tabs>
              <w:spacing w:line="360" w:lineRule="auto"/>
              <w:rPr>
                <w:rFonts w:hint="eastAsia" w:ascii="宋体" w:hAnsi="宋体" w:eastAsia="宋体" w:cs="宋体"/>
                <w:color w:val="auto"/>
                <w:sz w:val="24"/>
                <w:szCs w:val="24"/>
                <w:highlight w:val="none"/>
              </w:rPr>
            </w:pPr>
          </w:p>
        </w:tc>
      </w:tr>
      <w:tr w14:paraId="76952F2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7A534BEF">
            <w:pPr>
              <w:tabs>
                <w:tab w:val="left" w:pos="9765"/>
              </w:tabs>
              <w:spacing w:line="360" w:lineRule="auto"/>
              <w:rPr>
                <w:rFonts w:hint="eastAsia" w:ascii="宋体" w:hAnsi="宋体" w:eastAsia="宋体" w:cs="宋体"/>
                <w:color w:val="auto"/>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1853E07B">
            <w:pPr>
              <w:tabs>
                <w:tab w:val="left" w:pos="9765"/>
              </w:tabs>
              <w:spacing w:line="360" w:lineRule="auto"/>
              <w:rPr>
                <w:rFonts w:hint="eastAsia" w:ascii="宋体" w:hAnsi="宋体" w:eastAsia="宋体" w:cs="宋体"/>
                <w:color w:val="auto"/>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5EFDA058">
            <w:pPr>
              <w:tabs>
                <w:tab w:val="left" w:pos="9765"/>
              </w:tabs>
              <w:spacing w:line="360" w:lineRule="auto"/>
              <w:rPr>
                <w:rFonts w:hint="eastAsia" w:ascii="宋体" w:hAnsi="宋体" w:eastAsia="宋体" w:cs="宋体"/>
                <w:color w:val="auto"/>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78EAA001">
            <w:pPr>
              <w:tabs>
                <w:tab w:val="left" w:pos="9765"/>
              </w:tabs>
              <w:spacing w:line="360" w:lineRule="auto"/>
              <w:rPr>
                <w:rFonts w:hint="eastAsia" w:ascii="宋体" w:hAnsi="宋体" w:eastAsia="宋体" w:cs="宋体"/>
                <w:color w:val="auto"/>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72DE5126">
            <w:pPr>
              <w:tabs>
                <w:tab w:val="left" w:pos="9765"/>
              </w:tabs>
              <w:spacing w:line="360" w:lineRule="auto"/>
              <w:rPr>
                <w:rFonts w:hint="eastAsia" w:ascii="宋体" w:hAnsi="宋体" w:eastAsia="宋体" w:cs="宋体"/>
                <w:color w:val="auto"/>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6AC2F17B">
            <w:pPr>
              <w:tabs>
                <w:tab w:val="left" w:pos="9765"/>
              </w:tabs>
              <w:spacing w:line="360" w:lineRule="auto"/>
              <w:rPr>
                <w:rFonts w:hint="eastAsia" w:ascii="宋体" w:hAnsi="宋体" w:eastAsia="宋体" w:cs="宋体"/>
                <w:color w:val="auto"/>
                <w:sz w:val="24"/>
                <w:szCs w:val="24"/>
                <w:highlight w:val="none"/>
              </w:rPr>
            </w:pPr>
          </w:p>
        </w:tc>
      </w:tr>
    </w:tbl>
    <w:p w14:paraId="163C6FD5">
      <w:pPr>
        <w:tabs>
          <w:tab w:val="left" w:pos="9765"/>
        </w:tabs>
        <w:rPr>
          <w:rFonts w:hint="eastAsia" w:ascii="宋体" w:hAnsi="宋体" w:eastAsia="宋体" w:cs="宋体"/>
          <w:color w:val="auto"/>
          <w:sz w:val="24"/>
          <w:szCs w:val="24"/>
          <w:highlight w:val="none"/>
          <w:lang w:val="zh-CN"/>
        </w:rPr>
      </w:pPr>
    </w:p>
    <w:p w14:paraId="7817B055">
      <w:pPr>
        <w:spacing w:line="360" w:lineRule="auto"/>
        <w:rPr>
          <w:rFonts w:hint="eastAsia" w:ascii="宋体" w:hAnsi="宋体" w:eastAsia="宋体" w:cs="宋体"/>
          <w:color w:val="auto"/>
          <w:sz w:val="24"/>
          <w:szCs w:val="24"/>
          <w:highlight w:val="none"/>
        </w:rPr>
      </w:pPr>
    </w:p>
    <w:p w14:paraId="0E8DE9FE">
      <w:pPr>
        <w:spacing w:before="25" w:after="25"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供应商名称（加盖公章）</w:t>
      </w:r>
      <w:r>
        <w:rPr>
          <w:rFonts w:hint="eastAsia" w:ascii="宋体" w:hAnsi="宋体" w:eastAsia="宋体" w:cs="宋体"/>
          <w:color w:val="auto"/>
          <w:sz w:val="24"/>
          <w:szCs w:val="24"/>
          <w:highlight w:val="none"/>
          <w:lang w:val="zh-CN"/>
        </w:rPr>
        <w:t>：____________</w:t>
      </w:r>
    </w:p>
    <w:p w14:paraId="33044048">
      <w:pPr>
        <w:spacing w:before="25" w:after="25"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zh-CN"/>
        </w:rPr>
        <w:t>____________</w:t>
      </w:r>
      <w:r>
        <w:rPr>
          <w:rFonts w:hint="eastAsia" w:ascii="宋体" w:hAnsi="宋体" w:eastAsia="宋体" w:cs="宋体"/>
          <w:color w:val="auto"/>
          <w:sz w:val="24"/>
          <w:szCs w:val="24"/>
          <w:highlight w:val="none"/>
        </w:rPr>
        <w:t xml:space="preserve">年______月______日   </w:t>
      </w:r>
    </w:p>
    <w:p w14:paraId="55C68476">
      <w:pPr>
        <w:spacing w:line="360" w:lineRule="auto"/>
        <w:outlineLvl w:val="2"/>
        <w:rPr>
          <w:rFonts w:hint="eastAsia" w:ascii="宋体" w:hAnsi="宋体" w:eastAsia="宋体" w:cs="宋体"/>
          <w:b/>
          <w:bCs/>
          <w:color w:val="auto"/>
          <w:sz w:val="24"/>
          <w:highlight w:val="none"/>
        </w:rPr>
      </w:pPr>
      <w:r>
        <w:rPr>
          <w:color w:val="auto"/>
          <w:sz w:val="24"/>
          <w:szCs w:val="20"/>
          <w:highlight w:val="none"/>
        </w:rPr>
        <w:br w:type="page" w:clear="all"/>
      </w:r>
      <w:r>
        <w:rPr>
          <w:rFonts w:hint="eastAsia" w:ascii="宋体" w:hAnsi="宋体" w:eastAsia="宋体" w:cs="宋体"/>
          <w:b/>
          <w:bCs/>
          <w:color w:val="auto"/>
          <w:sz w:val="24"/>
          <w:szCs w:val="20"/>
          <w:highlight w:val="none"/>
        </w:rPr>
        <w:t>1</w:t>
      </w:r>
      <w:r>
        <w:rPr>
          <w:rFonts w:hint="eastAsia" w:ascii="宋体" w:hAnsi="宋体" w:cs="宋体"/>
          <w:b/>
          <w:bCs/>
          <w:color w:val="auto"/>
          <w:sz w:val="24"/>
          <w:szCs w:val="20"/>
          <w:highlight w:val="none"/>
          <w:lang w:val="en-US" w:eastAsia="zh-CN"/>
        </w:rPr>
        <w:t>6</w:t>
      </w:r>
      <w:r>
        <w:rPr>
          <w:rFonts w:hint="eastAsia" w:ascii="宋体" w:hAnsi="宋体" w:eastAsia="宋体" w:cs="宋体"/>
          <w:b/>
          <w:bCs/>
          <w:color w:val="auto"/>
          <w:sz w:val="24"/>
          <w:szCs w:val="20"/>
          <w:highlight w:val="none"/>
        </w:rPr>
        <w:t xml:space="preserve">  磋商文件要求提供或供应商认为应附的其他材料</w:t>
      </w:r>
    </w:p>
    <w:p w14:paraId="18F0ECF1">
      <w:pPr>
        <w:rPr>
          <w:b/>
          <w:color w:val="auto"/>
          <w:sz w:val="36"/>
          <w:szCs w:val="36"/>
          <w:highlight w:val="none"/>
        </w:rPr>
      </w:pPr>
    </w:p>
    <w:p w14:paraId="107C309A">
      <w:pPr>
        <w:rPr>
          <w:color w:val="auto"/>
          <w:sz w:val="24"/>
          <w:highlight w:val="none"/>
          <w:lang w:val="zh-CN"/>
        </w:rPr>
      </w:pPr>
    </w:p>
    <w:p w14:paraId="41DC9070">
      <w:pPr>
        <w:widowControl/>
        <w:jc w:val="left"/>
        <w:rPr>
          <w:b/>
          <w:color w:val="auto"/>
          <w:sz w:val="36"/>
          <w:szCs w:val="36"/>
          <w:highlight w:val="none"/>
        </w:rPr>
      </w:pPr>
    </w:p>
    <w:p w14:paraId="546C5C69">
      <w:pPr>
        <w:widowControl/>
        <w:jc w:val="left"/>
        <w:rPr>
          <w:b/>
          <w:color w:val="auto"/>
          <w:sz w:val="36"/>
          <w:szCs w:val="36"/>
          <w:highlight w:val="none"/>
        </w:rPr>
      </w:pPr>
    </w:p>
    <w:p w14:paraId="5B0147A9">
      <w:pPr>
        <w:widowControl/>
        <w:jc w:val="left"/>
        <w:rPr>
          <w:b/>
          <w:color w:val="auto"/>
          <w:sz w:val="36"/>
          <w:szCs w:val="36"/>
          <w:highlight w:val="none"/>
        </w:rPr>
      </w:pPr>
    </w:p>
    <w:p w14:paraId="550AF4D3">
      <w:pPr>
        <w:widowControl/>
        <w:jc w:val="left"/>
        <w:rPr>
          <w:b/>
          <w:color w:val="auto"/>
          <w:sz w:val="36"/>
          <w:szCs w:val="36"/>
          <w:highlight w:val="none"/>
        </w:rPr>
      </w:pPr>
    </w:p>
    <w:p w14:paraId="396D7B1B">
      <w:pPr>
        <w:widowControl/>
        <w:jc w:val="left"/>
        <w:rPr>
          <w:b/>
          <w:color w:val="auto"/>
          <w:sz w:val="36"/>
          <w:szCs w:val="36"/>
          <w:highlight w:val="none"/>
        </w:rPr>
      </w:pPr>
    </w:p>
    <w:p w14:paraId="68CD7C18">
      <w:pPr>
        <w:widowControl/>
        <w:jc w:val="left"/>
        <w:rPr>
          <w:b/>
          <w:color w:val="auto"/>
          <w:sz w:val="36"/>
          <w:szCs w:val="36"/>
          <w:highlight w:val="none"/>
        </w:rPr>
      </w:pPr>
    </w:p>
    <w:p w14:paraId="58C3B4F6">
      <w:pPr>
        <w:widowControl/>
        <w:jc w:val="left"/>
        <w:rPr>
          <w:b/>
          <w:color w:val="auto"/>
          <w:sz w:val="36"/>
          <w:szCs w:val="36"/>
          <w:highlight w:val="none"/>
        </w:rPr>
      </w:pPr>
    </w:p>
    <w:p w14:paraId="5AD4065A">
      <w:pPr>
        <w:widowControl/>
        <w:jc w:val="left"/>
        <w:rPr>
          <w:b/>
          <w:color w:val="auto"/>
          <w:sz w:val="36"/>
          <w:szCs w:val="36"/>
          <w:highlight w:val="none"/>
        </w:rPr>
      </w:pPr>
    </w:p>
    <w:p w14:paraId="72552363">
      <w:pPr>
        <w:widowControl/>
        <w:jc w:val="left"/>
        <w:rPr>
          <w:b/>
          <w:color w:val="auto"/>
          <w:sz w:val="36"/>
          <w:szCs w:val="36"/>
          <w:highlight w:val="none"/>
        </w:rPr>
      </w:pPr>
    </w:p>
    <w:p w14:paraId="3352A758">
      <w:pPr>
        <w:widowControl/>
        <w:jc w:val="left"/>
        <w:rPr>
          <w:b/>
          <w:color w:val="auto"/>
          <w:sz w:val="36"/>
          <w:szCs w:val="36"/>
          <w:highlight w:val="none"/>
        </w:rPr>
      </w:pPr>
    </w:p>
    <w:p w14:paraId="3A10CAD3">
      <w:pPr>
        <w:widowControl/>
        <w:jc w:val="left"/>
        <w:rPr>
          <w:b/>
          <w:color w:val="auto"/>
          <w:sz w:val="36"/>
          <w:szCs w:val="36"/>
          <w:highlight w:val="none"/>
        </w:rPr>
      </w:pPr>
    </w:p>
    <w:p w14:paraId="6BBBA33B">
      <w:pPr>
        <w:widowControl/>
        <w:jc w:val="left"/>
        <w:rPr>
          <w:b/>
          <w:color w:val="auto"/>
          <w:sz w:val="36"/>
          <w:szCs w:val="36"/>
          <w:highlight w:val="none"/>
        </w:rPr>
      </w:pPr>
    </w:p>
    <w:p w14:paraId="74DC9B6E">
      <w:pPr>
        <w:widowControl/>
        <w:jc w:val="left"/>
        <w:rPr>
          <w:b/>
          <w:color w:val="auto"/>
          <w:sz w:val="36"/>
          <w:szCs w:val="36"/>
          <w:highlight w:val="none"/>
        </w:rPr>
      </w:pPr>
    </w:p>
    <w:p w14:paraId="1478FA53">
      <w:pPr>
        <w:widowControl/>
        <w:jc w:val="left"/>
        <w:rPr>
          <w:b/>
          <w:color w:val="auto"/>
          <w:sz w:val="36"/>
          <w:szCs w:val="36"/>
          <w:highlight w:val="none"/>
        </w:rPr>
      </w:pPr>
    </w:p>
    <w:p w14:paraId="24EC81BA">
      <w:pPr>
        <w:widowControl/>
        <w:jc w:val="left"/>
        <w:rPr>
          <w:b/>
          <w:color w:val="auto"/>
          <w:sz w:val="36"/>
          <w:szCs w:val="36"/>
          <w:highlight w:val="none"/>
        </w:rPr>
      </w:pPr>
    </w:p>
    <w:p w14:paraId="64334586">
      <w:pPr>
        <w:widowControl/>
        <w:jc w:val="left"/>
        <w:rPr>
          <w:b/>
          <w:color w:val="auto"/>
          <w:sz w:val="36"/>
          <w:szCs w:val="36"/>
          <w:highlight w:val="none"/>
        </w:rPr>
      </w:pPr>
    </w:p>
    <w:p w14:paraId="089F34CB">
      <w:pPr>
        <w:widowControl/>
        <w:jc w:val="left"/>
        <w:rPr>
          <w:b/>
          <w:color w:val="auto"/>
          <w:sz w:val="36"/>
          <w:szCs w:val="36"/>
          <w:highlight w:val="none"/>
        </w:rPr>
      </w:pPr>
    </w:p>
    <w:p w14:paraId="37B9DAA4">
      <w:pPr>
        <w:widowControl/>
        <w:jc w:val="left"/>
        <w:rPr>
          <w:b/>
          <w:color w:val="auto"/>
          <w:sz w:val="36"/>
          <w:szCs w:val="36"/>
          <w:highlight w:val="none"/>
        </w:rPr>
      </w:pPr>
    </w:p>
    <w:p w14:paraId="7204DD74">
      <w:pPr>
        <w:widowControl/>
        <w:jc w:val="left"/>
        <w:rPr>
          <w:b/>
          <w:color w:val="auto"/>
          <w:sz w:val="36"/>
          <w:szCs w:val="36"/>
          <w:highlight w:val="none"/>
        </w:rPr>
      </w:pPr>
    </w:p>
    <w:p w14:paraId="5CC449B8">
      <w:pPr>
        <w:widowControl/>
        <w:jc w:val="left"/>
        <w:rPr>
          <w:b/>
          <w:color w:val="auto"/>
          <w:sz w:val="36"/>
          <w:szCs w:val="36"/>
          <w:highlight w:val="none"/>
        </w:rPr>
      </w:pPr>
    </w:p>
    <w:p w14:paraId="21E6BA43">
      <w:pPr>
        <w:widowControl/>
        <w:jc w:val="left"/>
        <w:rPr>
          <w:b/>
          <w:color w:val="auto"/>
          <w:sz w:val="36"/>
          <w:szCs w:val="36"/>
          <w:highlight w:val="none"/>
        </w:rPr>
      </w:pPr>
    </w:p>
    <w:p w14:paraId="5A0BE333">
      <w:pPr>
        <w:widowControl/>
        <w:jc w:val="left"/>
        <w:rPr>
          <w:b/>
          <w:color w:val="auto"/>
          <w:sz w:val="36"/>
          <w:szCs w:val="36"/>
          <w:highlight w:val="none"/>
        </w:rPr>
      </w:pPr>
    </w:p>
    <w:p w14:paraId="62BC1218">
      <w:pPr>
        <w:widowControl/>
        <w:jc w:val="left"/>
        <w:rPr>
          <w:b/>
          <w:color w:val="auto"/>
          <w:sz w:val="36"/>
          <w:szCs w:val="36"/>
          <w:highlight w:val="none"/>
        </w:rPr>
      </w:pPr>
    </w:p>
    <w:p w14:paraId="548FA2D8">
      <w:pPr>
        <w:widowControl/>
        <w:jc w:val="left"/>
        <w:rPr>
          <w:b/>
          <w:color w:val="auto"/>
          <w:sz w:val="36"/>
          <w:szCs w:val="36"/>
          <w:highlight w:val="none"/>
        </w:rPr>
      </w:pPr>
    </w:p>
    <w:p w14:paraId="612F2568">
      <w:pPr>
        <w:widowControl/>
        <w:jc w:val="left"/>
        <w:rPr>
          <w:b/>
          <w:color w:val="auto"/>
          <w:sz w:val="36"/>
          <w:szCs w:val="36"/>
          <w:highlight w:val="none"/>
        </w:rPr>
      </w:pPr>
    </w:p>
    <w:p w14:paraId="1DA0B480">
      <w:pPr>
        <w:widowControl/>
        <w:jc w:val="left"/>
        <w:rPr>
          <w:b/>
          <w:color w:val="auto"/>
          <w:sz w:val="36"/>
          <w:szCs w:val="36"/>
          <w:highlight w:val="none"/>
        </w:rPr>
      </w:pPr>
    </w:p>
    <w:p w14:paraId="6A6D9C23">
      <w:pPr>
        <w:widowControl/>
        <w:jc w:val="left"/>
        <w:rPr>
          <w:b/>
          <w:color w:val="auto"/>
          <w:sz w:val="36"/>
          <w:szCs w:val="36"/>
          <w:highlight w:val="none"/>
        </w:rPr>
      </w:pPr>
    </w:p>
    <w:p w14:paraId="4D7411E2">
      <w:pPr>
        <w:widowControl/>
        <w:jc w:val="left"/>
        <w:rPr>
          <w:b/>
          <w:color w:val="auto"/>
          <w:sz w:val="36"/>
          <w:szCs w:val="36"/>
          <w:highlight w:val="none"/>
        </w:rPr>
      </w:pPr>
    </w:p>
    <w:p w14:paraId="4CA34135">
      <w:pPr>
        <w:widowControl/>
        <w:jc w:val="left"/>
        <w:rPr>
          <w:b/>
          <w:color w:val="auto"/>
          <w:sz w:val="36"/>
          <w:szCs w:val="36"/>
          <w:highlight w:val="none"/>
        </w:rPr>
      </w:pPr>
    </w:p>
    <w:p w14:paraId="40DE13A8">
      <w:pPr>
        <w:widowControl/>
        <w:jc w:val="left"/>
        <w:rPr>
          <w:b/>
          <w:color w:val="auto"/>
          <w:sz w:val="36"/>
          <w:szCs w:val="36"/>
          <w:highlight w:val="none"/>
        </w:rPr>
      </w:pPr>
    </w:p>
    <w:sectPr>
      <w:headerReference r:id="rId17" w:type="first"/>
      <w:footerReference r:id="rId19" w:type="first"/>
      <w:headerReference r:id="rId16" w:type="even"/>
      <w:footerReference r:id="rId18" w:type="even"/>
      <w:pgSz w:w="11907" w:h="16838"/>
      <w:pgMar w:top="1417" w:right="1134" w:bottom="1417" w:left="1361" w:header="850" w:footer="850" w:gutter="0"/>
      <w:pgBorders>
        <w:top w:val="none" w:sz="0" w:space="0"/>
        <w:left w:val="none" w:sz="0" w:space="0"/>
        <w:bottom w:val="none" w:sz="0" w:space="0"/>
        <w:right w:val="none" w:sz="0" w:space="0"/>
      </w:pgBorders>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ntury Gothic">
    <w:panose1 w:val="020B0502020202020204"/>
    <w:charset w:val="00"/>
    <w:family w:val="swiss"/>
    <w:pitch w:val="default"/>
    <w:sig w:usb0="00000287" w:usb1="00000000" w:usb2="00000000" w:usb3="00000000" w:csb0="2000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SI黑体-GB2312">
    <w:altName w:val="黑体"/>
    <w:panose1 w:val="00000000000000000000"/>
    <w:charset w:val="00"/>
    <w:family w:val="auto"/>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C98A3">
    <w:pPr>
      <w:pStyle w:val="23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3ED1F">
    <w:pPr>
      <w:pStyle w:val="238"/>
      <w:framePr w:wrap="around" w:vAnchor="text" w:hAnchor="margin" w:xAlign="center" w:y="1"/>
      <w:rPr>
        <w:rStyle w:val="258"/>
      </w:rPr>
    </w:pPr>
    <w:r>
      <w:fldChar w:fldCharType="begin"/>
    </w:r>
    <w:r>
      <w:rPr>
        <w:rStyle w:val="258"/>
      </w:rPr>
      <w:instrText xml:space="preserve">PAGE  </w:instrText>
    </w:r>
    <w:r>
      <w:fldChar w:fldCharType="end"/>
    </w:r>
  </w:p>
  <w:p w14:paraId="53F67D19">
    <w:pPr>
      <w:pStyle w:val="23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B8475">
    <w:pPr>
      <w:pStyle w:val="23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C1467">
    <w:pPr>
      <w:pStyle w:val="238"/>
      <w:jc w:val="center"/>
      <w:rPr>
        <w:rFonts w:ascii="Times New Roma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6A43CCD">
                          <w:pPr>
                            <w:pStyle w:val="24"/>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8V5Q0wAgAAY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MQJs+ysNMP&#10;lkfoKI+362OAnEnlKEqnBLoTD5i91Kd+T+Jw/3lOUY//Da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A8V5Q0wAgAAYwQAAA4AAAAAAAAAAQAgAAAAHwEAAGRycy9lMm9Eb2MueG1sUEsFBgAA&#10;AAAGAAYAWQEAAMEFAAAAAA==&#10;">
              <v:fill on="f" focussize="0,0"/>
              <v:stroke on="f" weight="0.5pt"/>
              <v:imagedata o:title=""/>
              <o:lock v:ext="edit" aspectratio="f"/>
              <v:textbox inset="0mm,0mm,0mm,0mm" style="mso-fit-shape-to-text:t;">
                <w:txbxContent>
                  <w:p w14:paraId="26A43CCD">
                    <w:pPr>
                      <w:pStyle w:val="24"/>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E4804">
    <w:pPr>
      <w:pStyle w:val="238"/>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768306D">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tZlUyAgAAY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W1mVTICAABjBAAADgAAAAAAAAABACAAAAAfAQAAZHJzL2Uyb0RvYy54bWxQSwUG&#10;AAAAAAYABgBZAQAAwwUAAAAA&#10;">
              <v:fill on="f" focussize="0,0"/>
              <v:stroke on="f" weight="0.5pt"/>
              <v:imagedata o:title=""/>
              <o:lock v:ext="edit" aspectratio="f"/>
              <v:textbox inset="0mm,0mm,0mm,0mm" style="mso-fit-shape-to-text:t;">
                <w:txbxContent>
                  <w:p w14:paraId="0768306D">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084AF">
    <w:pPr>
      <w:pStyle w:val="238"/>
      <w:rPr>
        <w:rFonts w:ascii="Times New Roman"/>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AF15C7D">
                          <w:pPr>
                            <w:pStyle w:val="24"/>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14:paraId="0AF15C7D">
                    <w:pPr>
                      <w:pStyle w:val="24"/>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775FA">
    <w:pPr>
      <w:pStyle w:val="238"/>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462990F">
                          <w:pPr>
                            <w:pStyle w:val="24"/>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3lPQyAgAAY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7eU9DICAABjBAAADgAAAAAAAAABACAAAAAfAQAAZHJzL2Uyb0RvYy54bWxQSwUG&#10;AAAAAAYABgBZAQAAwwUAAAAA&#10;">
              <v:fill on="f" focussize="0,0"/>
              <v:stroke on="f" weight="0.5pt"/>
              <v:imagedata o:title=""/>
              <o:lock v:ext="edit" aspectratio="f"/>
              <v:textbox inset="0mm,0mm,0mm,0mm" style="mso-fit-shape-to-text:t;">
                <w:txbxContent>
                  <w:p w14:paraId="3462990F">
                    <w:pPr>
                      <w:pStyle w:val="24"/>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98366">
    <w:pPr>
      <w:pStyle w:val="238"/>
      <w:framePr w:wrap="around" w:vAnchor="text" w:hAnchor="margin" w:xAlign="right" w:y="1"/>
      <w:rPr>
        <w:rStyle w:val="258"/>
      </w:rPr>
    </w:pPr>
    <w:r>
      <w:rPr>
        <w:rStyle w:val="258"/>
      </w:rPr>
      <w:fldChar w:fldCharType="begin"/>
    </w:r>
    <w:r>
      <w:rPr>
        <w:rStyle w:val="258"/>
      </w:rPr>
      <w:instrText xml:space="preserve">PAGE  </w:instrText>
    </w:r>
    <w:r>
      <w:rPr>
        <w:rStyle w:val="258"/>
      </w:rPr>
      <w:fldChar w:fldCharType="end"/>
    </w:r>
  </w:p>
  <w:p w14:paraId="7C3151C7">
    <w:pPr>
      <w:pStyle w:val="238"/>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986E1">
    <w:pPr>
      <w:spacing w:line="174" w:lineRule="auto"/>
      <w:ind w:left="4481"/>
      <w:rPr>
        <w:rFonts w:eastAsia="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234231C">
                          <w:pPr>
                            <w:pStyle w:val="24"/>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liw6Yy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WLDpjICAABlBAAADgAAAAAAAAABACAAAAAfAQAAZHJzL2Uyb0RvYy54bWxQSwUG&#10;AAAAAAYABgBZAQAAwwUAAAAA&#10;">
              <v:fill on="f" focussize="0,0"/>
              <v:stroke on="f" weight="0.5pt"/>
              <v:imagedata o:title=""/>
              <o:lock v:ext="edit" aspectratio="f"/>
              <v:textbox inset="0mm,0mm,0mm,0mm" style="mso-fit-shape-to-text:t;">
                <w:txbxContent>
                  <w:p w14:paraId="1234231C">
                    <w:pPr>
                      <w:pStyle w:val="24"/>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97905">
    <w:pPr>
      <w:pStyle w:val="238"/>
      <w:framePr w:wrap="around" w:vAnchor="text" w:hAnchor="margin" w:xAlign="right" w:y="1"/>
      <w:rPr>
        <w:rStyle w:val="258"/>
      </w:rPr>
    </w:pPr>
    <w:r>
      <w:rPr>
        <w:rStyle w:val="258"/>
      </w:rPr>
      <w:fldChar w:fldCharType="begin"/>
    </w:r>
    <w:r>
      <w:rPr>
        <w:rStyle w:val="258"/>
      </w:rPr>
      <w:instrText xml:space="preserve">PAGE  </w:instrText>
    </w:r>
    <w:r>
      <w:rPr>
        <w:rStyle w:val="258"/>
      </w:rPr>
      <w:fldChar w:fldCharType="end"/>
    </w:r>
  </w:p>
  <w:p w14:paraId="18E05345">
    <w:pPr>
      <w:pStyle w:val="238"/>
      <w:ind w:right="360"/>
    </w:pPr>
  </w:p>
  <w:p w14:paraId="68F7583E"/>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026A7">
    <w:pPr>
      <w:pStyle w:val="238"/>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1E12227">
                          <w:pPr>
                            <w:pStyle w:val="24"/>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xGDM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wuxZFrZ6&#10;Z3mEjvJ4uzoGyJlUjqJ0SqA78YDpS33qNyWO95/nFPX47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vsRgzMQIAAGUEAAAOAAAAAAAAAAEAIAAAAB8BAABkcnMvZTJvRG9jLnhtbFBLBQYA&#10;AAAABgAGAFkBAADCBQAAAAA=&#10;">
              <v:fill on="f" focussize="0,0"/>
              <v:stroke on="f" weight="0.5pt"/>
              <v:imagedata o:title=""/>
              <o:lock v:ext="edit" aspectratio="f"/>
              <v:textbox inset="0mm,0mm,0mm,0mm" style="mso-fit-shape-to-text:t;">
                <w:txbxContent>
                  <w:p w14:paraId="51E12227">
                    <w:pPr>
                      <w:pStyle w:val="24"/>
                    </w:pPr>
                    <w:r>
                      <w:fldChar w:fldCharType="begin"/>
                    </w:r>
                    <w:r>
                      <w:instrText xml:space="preserve"> PAGE  \* MERGEFORMAT </w:instrText>
                    </w:r>
                    <w:r>
                      <w:fldChar w:fldCharType="separate"/>
                    </w:r>
                    <w:r>
                      <w:t>42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8F00C">
    <w:pPr>
      <w:pStyle w:val="241"/>
      <w:pBdr>
        <w:bottom w:val="single" w:color="000000" w:sz="4" w:space="1"/>
      </w:pBdr>
      <w:jc w:val="right"/>
    </w:pPr>
    <w:r>
      <w:rPr>
        <w:rFonts w:hint="eastAsia"/>
      </w:rPr>
      <w:t>常州市政府采购项目竞争性磋商文件</w:t>
    </w:r>
  </w:p>
  <w:p w14:paraId="202AEF03">
    <w:pPr>
      <w:pStyle w:val="241"/>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9F969">
    <w:pPr>
      <w:pStyle w:val="2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06718">
    <w:pPr>
      <w:pStyle w:val="241"/>
      <w:pBdr>
        <w:bottom w:val="single" w:color="000000" w:sz="4" w:space="1"/>
      </w:pBdr>
      <w:jc w:val="right"/>
    </w:pPr>
    <w:r>
      <w:rPr>
        <w:rFonts w:hint="eastAsia"/>
      </w:rPr>
      <w:t>常州市政府采购项目竞争性磋商文件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E2022">
    <w:pPr>
      <w:pStyle w:val="241"/>
      <w:pBdr>
        <w:bottom w:val="single" w:color="000000" w:sz="4" w:space="1"/>
      </w:pBdr>
      <w:jc w:val="right"/>
    </w:pPr>
    <w:r>
      <w:rPr>
        <w:rFonts w:hint="eastAsia"/>
      </w:rPr>
      <w:t>常州市政府采购项目竞争性磋商文件</w:t>
    </w:r>
  </w:p>
  <w:p w14:paraId="72A340B0">
    <w:pPr>
      <w:pStyle w:val="241"/>
      <w:jc w:val="right"/>
      <w:rPr>
        <w:rFonts w:ascii="宋体" w:hAnsi="宋体"/>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FB297">
    <w:pPr>
      <w:pStyle w:val="241"/>
    </w:pPr>
  </w:p>
  <w:p w14:paraId="34CB1906"/>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07826">
    <w:pPr>
      <w:pStyle w:val="241"/>
      <w:pBdr>
        <w:bottom w:val="single" w:color="000000" w:sz="4" w:space="1"/>
      </w:pBdr>
      <w:jc w:val="right"/>
    </w:pPr>
    <w:r>
      <w:rPr>
        <w:rFonts w:hint="eastAsia"/>
      </w:rPr>
      <w:t>常州市政府采购项目竞争性磋商文件</w:t>
    </w:r>
  </w:p>
  <w:p w14:paraId="5B971D79">
    <w:pPr>
      <w:pStyle w:val="24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C39E97"/>
    <w:multiLevelType w:val="singleLevel"/>
    <w:tmpl w:val="97C39E97"/>
    <w:lvl w:ilvl="0" w:tentative="0">
      <w:start w:val="1"/>
      <w:numFmt w:val="decimal"/>
      <w:lvlText w:val="%1."/>
      <w:lvlJc w:val="left"/>
      <w:pPr>
        <w:tabs>
          <w:tab w:val="left" w:pos="312"/>
        </w:tabs>
      </w:pPr>
    </w:lvl>
  </w:abstractNum>
  <w:abstractNum w:abstractNumId="1">
    <w:nsid w:val="B5E306ED"/>
    <w:multiLevelType w:val="multilevel"/>
    <w:tmpl w:val="B5E306ED"/>
    <w:lvl w:ilvl="0" w:tentative="0">
      <w:start w:val="1"/>
      <w:numFmt w:val="decimal"/>
      <w:pStyle w:val="340"/>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2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F092B84"/>
    <w:multiLevelType w:val="multilevel"/>
    <w:tmpl w:val="CF092B84"/>
    <w:lvl w:ilvl="0" w:tentative="0">
      <w:start w:val="1"/>
      <w:numFmt w:val="decimal"/>
      <w:pStyle w:val="294"/>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53208E"/>
    <w:multiLevelType w:val="multilevel"/>
    <w:tmpl w:val="0053208E"/>
    <w:lvl w:ilvl="0" w:tentative="0">
      <w:start w:val="1"/>
      <w:numFmt w:val="decimal"/>
      <w:pStyle w:val="289"/>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88"/>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5"/>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4"/>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3"/>
      <w:suff w:val="nothing"/>
      <w:lvlText w:val="%1.%2.%3.%4.%5.%6　"/>
      <w:lvlJc w:val="left"/>
      <w:pPr>
        <w:ind w:left="-25" w:firstLine="0"/>
      </w:pPr>
      <w:rPr>
        <w:rFonts w:ascii="Times New Roman" w:hAnsi="Times New Roman" w:eastAsia="宋体"/>
        <w:b/>
        <w:i w:val="0"/>
        <w:sz w:val="28"/>
      </w:rPr>
    </w:lvl>
    <w:lvl w:ilvl="6" w:tentative="0">
      <w:start w:val="1"/>
      <w:numFmt w:val="lowerLetter"/>
      <w:pStyle w:val="346"/>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09"/>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5">
    <w:nsid w:val="03D62ECE"/>
    <w:multiLevelType w:val="multilevel"/>
    <w:tmpl w:val="03D62ECE"/>
    <w:lvl w:ilvl="0" w:tentative="0">
      <w:start w:val="1"/>
      <w:numFmt w:val="lowerLetter"/>
      <w:pStyle w:val="369"/>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25B654F3"/>
    <w:multiLevelType w:val="multilevel"/>
    <w:tmpl w:val="25B654F3"/>
    <w:lvl w:ilvl="0" w:tentative="0">
      <w:start w:val="1"/>
      <w:numFmt w:val="decimal"/>
      <w:pStyle w:val="393"/>
      <w:lvlText w:val="%1"/>
      <w:lvlJc w:val="left"/>
      <w:pPr>
        <w:ind w:left="680" w:hanging="680"/>
      </w:pPr>
      <w:rPr>
        <w:rFonts w:hint="eastAsia" w:ascii="宋体" w:hAnsi="宋体" w:eastAsia="宋体"/>
      </w:rPr>
    </w:lvl>
    <w:lvl w:ilvl="1" w:tentative="0">
      <w:start w:val="1"/>
      <w:numFmt w:val="decimal"/>
      <w:pStyle w:val="394"/>
      <w:lvlText w:val="%1.%2"/>
      <w:lvlJc w:val="left"/>
      <w:pPr>
        <w:ind w:left="851" w:hanging="851"/>
      </w:pPr>
      <w:rPr>
        <w:rFonts w:hint="eastAsia" w:ascii="宋体" w:hAnsi="宋体" w:eastAsia="宋体"/>
        <w:color w:val="000000"/>
      </w:rPr>
    </w:lvl>
    <w:lvl w:ilvl="2" w:tentative="0">
      <w:start w:val="1"/>
      <w:numFmt w:val="decimal"/>
      <w:pStyle w:val="39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7">
    <w:nsid w:val="59ADCABA"/>
    <w:multiLevelType w:val="multilevel"/>
    <w:tmpl w:val="59ADCABA"/>
    <w:lvl w:ilvl="0" w:tentative="0">
      <w:start w:val="1"/>
      <w:numFmt w:val="decimal"/>
      <w:pStyle w:val="29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6"/>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dkODM3NmQ4ZjE5MzQ1Y2IyNzExNjQ0MzQzZjUzMTMifQ=="/>
  </w:docVars>
  <w:rsids>
    <w:rsidRoot w:val="00276151"/>
    <w:rsid w:val="000251AF"/>
    <w:rsid w:val="000419B9"/>
    <w:rsid w:val="000A5F57"/>
    <w:rsid w:val="00196F29"/>
    <w:rsid w:val="002352E3"/>
    <w:rsid w:val="00276151"/>
    <w:rsid w:val="002A6EBC"/>
    <w:rsid w:val="00327AAC"/>
    <w:rsid w:val="0034045A"/>
    <w:rsid w:val="0035607D"/>
    <w:rsid w:val="003E4DAB"/>
    <w:rsid w:val="0048056E"/>
    <w:rsid w:val="004828A5"/>
    <w:rsid w:val="00484B9B"/>
    <w:rsid w:val="004C64D8"/>
    <w:rsid w:val="00500956"/>
    <w:rsid w:val="00533645"/>
    <w:rsid w:val="005C42AD"/>
    <w:rsid w:val="00622CC0"/>
    <w:rsid w:val="006839CF"/>
    <w:rsid w:val="00754A70"/>
    <w:rsid w:val="00764B2B"/>
    <w:rsid w:val="0076589E"/>
    <w:rsid w:val="007807A7"/>
    <w:rsid w:val="007959FF"/>
    <w:rsid w:val="007964A3"/>
    <w:rsid w:val="007D6ABD"/>
    <w:rsid w:val="007E7C4E"/>
    <w:rsid w:val="00803701"/>
    <w:rsid w:val="00827DFB"/>
    <w:rsid w:val="008A63AB"/>
    <w:rsid w:val="008D7859"/>
    <w:rsid w:val="008E3788"/>
    <w:rsid w:val="00920750"/>
    <w:rsid w:val="00A254AC"/>
    <w:rsid w:val="00A50445"/>
    <w:rsid w:val="00A93816"/>
    <w:rsid w:val="00A95540"/>
    <w:rsid w:val="00AA3CEC"/>
    <w:rsid w:val="00B7005D"/>
    <w:rsid w:val="00B76823"/>
    <w:rsid w:val="00C027F9"/>
    <w:rsid w:val="00D0379D"/>
    <w:rsid w:val="00DC4731"/>
    <w:rsid w:val="00E77C5D"/>
    <w:rsid w:val="00E94291"/>
    <w:rsid w:val="00EF6968"/>
    <w:rsid w:val="00FD38E0"/>
    <w:rsid w:val="00FF042A"/>
    <w:rsid w:val="019F68B2"/>
    <w:rsid w:val="01B110AA"/>
    <w:rsid w:val="01C91627"/>
    <w:rsid w:val="02054E7E"/>
    <w:rsid w:val="02873BB9"/>
    <w:rsid w:val="02A93E10"/>
    <w:rsid w:val="033D467B"/>
    <w:rsid w:val="038A7E04"/>
    <w:rsid w:val="03B85ABB"/>
    <w:rsid w:val="03B92498"/>
    <w:rsid w:val="04506958"/>
    <w:rsid w:val="045D72C7"/>
    <w:rsid w:val="05E41E5B"/>
    <w:rsid w:val="066E57BB"/>
    <w:rsid w:val="07032514"/>
    <w:rsid w:val="07621C08"/>
    <w:rsid w:val="07F74493"/>
    <w:rsid w:val="082A74C0"/>
    <w:rsid w:val="083C1095"/>
    <w:rsid w:val="0885070F"/>
    <w:rsid w:val="094F3960"/>
    <w:rsid w:val="0A2B16D5"/>
    <w:rsid w:val="0A5E0A9E"/>
    <w:rsid w:val="0AA5278A"/>
    <w:rsid w:val="0C8150A0"/>
    <w:rsid w:val="0CAE4764"/>
    <w:rsid w:val="0CBF097B"/>
    <w:rsid w:val="0D077DD0"/>
    <w:rsid w:val="0D732BB3"/>
    <w:rsid w:val="0E262581"/>
    <w:rsid w:val="0E290E1D"/>
    <w:rsid w:val="0E786775"/>
    <w:rsid w:val="0EB61AAE"/>
    <w:rsid w:val="0EEB497A"/>
    <w:rsid w:val="0F032510"/>
    <w:rsid w:val="0F07097E"/>
    <w:rsid w:val="0F0C3DC3"/>
    <w:rsid w:val="0F5E3FD2"/>
    <w:rsid w:val="0F9C3260"/>
    <w:rsid w:val="10560F5C"/>
    <w:rsid w:val="10BF3861"/>
    <w:rsid w:val="112910C8"/>
    <w:rsid w:val="113704F5"/>
    <w:rsid w:val="11394FC4"/>
    <w:rsid w:val="11531836"/>
    <w:rsid w:val="11AC0F46"/>
    <w:rsid w:val="121C2567"/>
    <w:rsid w:val="124B6B75"/>
    <w:rsid w:val="12A444E8"/>
    <w:rsid w:val="13F73813"/>
    <w:rsid w:val="13F91163"/>
    <w:rsid w:val="14213E6D"/>
    <w:rsid w:val="1535481E"/>
    <w:rsid w:val="16455F2A"/>
    <w:rsid w:val="171169C4"/>
    <w:rsid w:val="175764BE"/>
    <w:rsid w:val="175F425E"/>
    <w:rsid w:val="17710ADF"/>
    <w:rsid w:val="19A1335A"/>
    <w:rsid w:val="1A0E08B0"/>
    <w:rsid w:val="1AB85B29"/>
    <w:rsid w:val="1B343F2C"/>
    <w:rsid w:val="1D087972"/>
    <w:rsid w:val="1D0A3504"/>
    <w:rsid w:val="1D17405F"/>
    <w:rsid w:val="1D1E53EE"/>
    <w:rsid w:val="1D26510D"/>
    <w:rsid w:val="1D700B51"/>
    <w:rsid w:val="1DD106B2"/>
    <w:rsid w:val="1E4D3DE8"/>
    <w:rsid w:val="1F422EEA"/>
    <w:rsid w:val="1F5667CB"/>
    <w:rsid w:val="1FA425A2"/>
    <w:rsid w:val="200C3C23"/>
    <w:rsid w:val="204A474C"/>
    <w:rsid w:val="20B42729"/>
    <w:rsid w:val="20B6593D"/>
    <w:rsid w:val="21D41119"/>
    <w:rsid w:val="223B06ED"/>
    <w:rsid w:val="229D3C63"/>
    <w:rsid w:val="22F95FB5"/>
    <w:rsid w:val="23860810"/>
    <w:rsid w:val="240A6710"/>
    <w:rsid w:val="244F3B08"/>
    <w:rsid w:val="24CB10B2"/>
    <w:rsid w:val="24FD1D8D"/>
    <w:rsid w:val="259D7B2F"/>
    <w:rsid w:val="25DA0320"/>
    <w:rsid w:val="2650413E"/>
    <w:rsid w:val="27051D17"/>
    <w:rsid w:val="28631C90"/>
    <w:rsid w:val="289B0CD4"/>
    <w:rsid w:val="28E114F8"/>
    <w:rsid w:val="29B5643F"/>
    <w:rsid w:val="2A406E8A"/>
    <w:rsid w:val="2A506E02"/>
    <w:rsid w:val="2A810D6A"/>
    <w:rsid w:val="2B0B15B0"/>
    <w:rsid w:val="2B400C25"/>
    <w:rsid w:val="2B6366AD"/>
    <w:rsid w:val="2C3E1278"/>
    <w:rsid w:val="2C9B4BAA"/>
    <w:rsid w:val="2D391DD0"/>
    <w:rsid w:val="2DF93132"/>
    <w:rsid w:val="2E2C36E3"/>
    <w:rsid w:val="2E713BAF"/>
    <w:rsid w:val="2E934A8F"/>
    <w:rsid w:val="2EF721EC"/>
    <w:rsid w:val="2FAC30E7"/>
    <w:rsid w:val="2FD71EB8"/>
    <w:rsid w:val="3005350E"/>
    <w:rsid w:val="30AA4BDA"/>
    <w:rsid w:val="31045EDB"/>
    <w:rsid w:val="31605B7D"/>
    <w:rsid w:val="335A2AA0"/>
    <w:rsid w:val="33EF7847"/>
    <w:rsid w:val="341C2C0D"/>
    <w:rsid w:val="34C67D97"/>
    <w:rsid w:val="34D67F04"/>
    <w:rsid w:val="35824B91"/>
    <w:rsid w:val="36512587"/>
    <w:rsid w:val="36A336BF"/>
    <w:rsid w:val="370945C1"/>
    <w:rsid w:val="3833455D"/>
    <w:rsid w:val="39475874"/>
    <w:rsid w:val="3A3F45F4"/>
    <w:rsid w:val="3B253993"/>
    <w:rsid w:val="3B2E26DA"/>
    <w:rsid w:val="3BB24C42"/>
    <w:rsid w:val="3C296DB9"/>
    <w:rsid w:val="3C3D7D49"/>
    <w:rsid w:val="3C400AAD"/>
    <w:rsid w:val="3D711112"/>
    <w:rsid w:val="3E265A58"/>
    <w:rsid w:val="3E986F6A"/>
    <w:rsid w:val="3EA572C5"/>
    <w:rsid w:val="3FE6A2A3"/>
    <w:rsid w:val="40E20D36"/>
    <w:rsid w:val="40E90FBF"/>
    <w:rsid w:val="41FB4946"/>
    <w:rsid w:val="42072045"/>
    <w:rsid w:val="42B21FB1"/>
    <w:rsid w:val="446C369C"/>
    <w:rsid w:val="47134FE8"/>
    <w:rsid w:val="472471F5"/>
    <w:rsid w:val="47DB7B8B"/>
    <w:rsid w:val="47E9226F"/>
    <w:rsid w:val="48657AC5"/>
    <w:rsid w:val="48783A50"/>
    <w:rsid w:val="48C22822"/>
    <w:rsid w:val="48E00EFA"/>
    <w:rsid w:val="48EA5EAC"/>
    <w:rsid w:val="49893ACB"/>
    <w:rsid w:val="49FF8E63"/>
    <w:rsid w:val="4A1672C9"/>
    <w:rsid w:val="4A1C3174"/>
    <w:rsid w:val="4A327A79"/>
    <w:rsid w:val="4A3D4856"/>
    <w:rsid w:val="4A77483A"/>
    <w:rsid w:val="4B050629"/>
    <w:rsid w:val="4C1E4213"/>
    <w:rsid w:val="4C726550"/>
    <w:rsid w:val="4CBB4860"/>
    <w:rsid w:val="4CE84FB1"/>
    <w:rsid w:val="4EF55699"/>
    <w:rsid w:val="4F2B684E"/>
    <w:rsid w:val="4FFB6CD8"/>
    <w:rsid w:val="50D01A6C"/>
    <w:rsid w:val="514E10F6"/>
    <w:rsid w:val="51D72D57"/>
    <w:rsid w:val="51E90EF4"/>
    <w:rsid w:val="51EB1F16"/>
    <w:rsid w:val="51FA302C"/>
    <w:rsid w:val="52B54B82"/>
    <w:rsid w:val="52E2243E"/>
    <w:rsid w:val="533FF214"/>
    <w:rsid w:val="535624E4"/>
    <w:rsid w:val="53A612D0"/>
    <w:rsid w:val="53EA576B"/>
    <w:rsid w:val="54B24493"/>
    <w:rsid w:val="54C10B10"/>
    <w:rsid w:val="54C3004D"/>
    <w:rsid w:val="54C6369A"/>
    <w:rsid w:val="55717AA9"/>
    <w:rsid w:val="561036B8"/>
    <w:rsid w:val="57032983"/>
    <w:rsid w:val="58380FBE"/>
    <w:rsid w:val="598C4EB2"/>
    <w:rsid w:val="599F5E95"/>
    <w:rsid w:val="5A1A0184"/>
    <w:rsid w:val="5A3F0176"/>
    <w:rsid w:val="5A42183C"/>
    <w:rsid w:val="5A655703"/>
    <w:rsid w:val="5AD20FEA"/>
    <w:rsid w:val="5AE40D1D"/>
    <w:rsid w:val="5B8D66E4"/>
    <w:rsid w:val="5C410422"/>
    <w:rsid w:val="5CBA4AB1"/>
    <w:rsid w:val="5E0B45AD"/>
    <w:rsid w:val="5E211CA5"/>
    <w:rsid w:val="5E7F61DF"/>
    <w:rsid w:val="607A22A8"/>
    <w:rsid w:val="6095303D"/>
    <w:rsid w:val="609B1A92"/>
    <w:rsid w:val="618A62A9"/>
    <w:rsid w:val="61C53798"/>
    <w:rsid w:val="61CD250B"/>
    <w:rsid w:val="62CF359D"/>
    <w:rsid w:val="63B10285"/>
    <w:rsid w:val="642B176B"/>
    <w:rsid w:val="64423DC7"/>
    <w:rsid w:val="64F0212E"/>
    <w:rsid w:val="6502071E"/>
    <w:rsid w:val="657F1D6E"/>
    <w:rsid w:val="66114CC4"/>
    <w:rsid w:val="66195C4F"/>
    <w:rsid w:val="66687C96"/>
    <w:rsid w:val="66700417"/>
    <w:rsid w:val="66B8551F"/>
    <w:rsid w:val="67184229"/>
    <w:rsid w:val="679F04A6"/>
    <w:rsid w:val="68CB049A"/>
    <w:rsid w:val="69635503"/>
    <w:rsid w:val="69FFC429"/>
    <w:rsid w:val="6A1A02B8"/>
    <w:rsid w:val="6A813E93"/>
    <w:rsid w:val="6AA54025"/>
    <w:rsid w:val="6ABC136F"/>
    <w:rsid w:val="6B916358"/>
    <w:rsid w:val="6BA674DB"/>
    <w:rsid w:val="6BAC13E3"/>
    <w:rsid w:val="6CF941B4"/>
    <w:rsid w:val="6DB53B93"/>
    <w:rsid w:val="6DC01693"/>
    <w:rsid w:val="6E642FA5"/>
    <w:rsid w:val="6ED92BA5"/>
    <w:rsid w:val="6EF56BFD"/>
    <w:rsid w:val="700E441B"/>
    <w:rsid w:val="702E2348"/>
    <w:rsid w:val="706A1742"/>
    <w:rsid w:val="706F3607"/>
    <w:rsid w:val="70782DA3"/>
    <w:rsid w:val="71001C7F"/>
    <w:rsid w:val="71177386"/>
    <w:rsid w:val="71952B85"/>
    <w:rsid w:val="721D44A4"/>
    <w:rsid w:val="72A13C93"/>
    <w:rsid w:val="72B27CF5"/>
    <w:rsid w:val="72FF12A0"/>
    <w:rsid w:val="73DB0AB8"/>
    <w:rsid w:val="73EB853A"/>
    <w:rsid w:val="74387CB8"/>
    <w:rsid w:val="744C3764"/>
    <w:rsid w:val="746946BD"/>
    <w:rsid w:val="74D53759"/>
    <w:rsid w:val="75660855"/>
    <w:rsid w:val="756C079A"/>
    <w:rsid w:val="76AC39BE"/>
    <w:rsid w:val="76F65C09"/>
    <w:rsid w:val="77530965"/>
    <w:rsid w:val="77562203"/>
    <w:rsid w:val="78867CD2"/>
    <w:rsid w:val="79773031"/>
    <w:rsid w:val="79FD2357"/>
    <w:rsid w:val="7A7C4183"/>
    <w:rsid w:val="7B407452"/>
    <w:rsid w:val="7B8F7ACD"/>
    <w:rsid w:val="7BB6141F"/>
    <w:rsid w:val="7C004F21"/>
    <w:rsid w:val="7C0824FE"/>
    <w:rsid w:val="7C225C2C"/>
    <w:rsid w:val="7C547659"/>
    <w:rsid w:val="7D24527D"/>
    <w:rsid w:val="7D292894"/>
    <w:rsid w:val="7D8D3C7E"/>
    <w:rsid w:val="7E68119A"/>
    <w:rsid w:val="7ED851C5"/>
    <w:rsid w:val="7EFF9EAF"/>
    <w:rsid w:val="7F556C75"/>
    <w:rsid w:val="7FDECCCA"/>
    <w:rsid w:val="7FE37A1B"/>
    <w:rsid w:val="7FFF6CF8"/>
    <w:rsid w:val="ABF1A80B"/>
    <w:rsid w:val="B5AD9785"/>
    <w:rsid w:val="B7BE7C4D"/>
    <w:rsid w:val="D5FCC949"/>
    <w:rsid w:val="DDFF7D82"/>
    <w:rsid w:val="DFED4E3C"/>
    <w:rsid w:val="DFFE15DF"/>
    <w:rsid w:val="DFFEF0C8"/>
    <w:rsid w:val="E47A24B1"/>
    <w:rsid w:val="E97F2E17"/>
    <w:rsid w:val="ED7F7F33"/>
    <w:rsid w:val="FDF77266"/>
    <w:rsid w:val="FDFBDCA3"/>
    <w:rsid w:val="FE6BBC97"/>
    <w:rsid w:val="FE87A0CF"/>
    <w:rsid w:val="FEF59063"/>
    <w:rsid w:val="FF773120"/>
    <w:rsid w:val="FFA78097"/>
    <w:rsid w:val="FFFF54A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link w:val="48"/>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1"/>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5"/>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unhideWhenUsed/>
    <w:qFormat/>
    <w:uiPriority w:val="0"/>
    <w:pPr>
      <w:jc w:val="left"/>
    </w:pPr>
  </w:style>
  <w:style w:type="paragraph" w:styleId="15">
    <w:name w:val="Body Text"/>
    <w:basedOn w:val="1"/>
    <w:semiHidden/>
    <w:qFormat/>
    <w:uiPriority w:val="0"/>
    <w:rPr>
      <w:rFonts w:ascii="Arial" w:hAnsi="Arial" w:eastAsia="Arial" w:cs="Arial"/>
      <w:szCs w:val="21"/>
      <w:lang w:eastAsia="en-US"/>
    </w:rPr>
  </w:style>
  <w:style w:type="paragraph" w:styleId="16">
    <w:name w:val="Body Text Indent"/>
    <w:basedOn w:val="1"/>
    <w:next w:val="17"/>
    <w:qFormat/>
    <w:uiPriority w:val="0"/>
    <w:pPr>
      <w:spacing w:line="360" w:lineRule="auto"/>
      <w:ind w:firstLine="570"/>
    </w:pPr>
    <w:rPr>
      <w:sz w:val="24"/>
    </w:rPr>
  </w:style>
  <w:style w:type="paragraph" w:customStyle="1" w:styleId="17">
    <w:name w:val="目录 51"/>
    <w:basedOn w:val="1"/>
    <w:next w:val="1"/>
    <w:qFormat/>
    <w:uiPriority w:val="0"/>
    <w:pPr>
      <w:ind w:left="1680"/>
    </w:pPr>
  </w:style>
  <w:style w:type="paragraph" w:styleId="18">
    <w:name w:val="Block Text"/>
    <w:basedOn w:val="1"/>
    <w:unhideWhenUsed/>
    <w:qFormat/>
    <w:uiPriority w:val="99"/>
    <w:pPr>
      <w:spacing w:after="120"/>
      <w:ind w:left="1440" w:leftChars="700" w:right="1440" w:rightChars="700"/>
    </w:pPr>
  </w:style>
  <w:style w:type="paragraph" w:styleId="19">
    <w:name w:val="toc 5"/>
    <w:basedOn w:val="1"/>
    <w:next w:val="1"/>
    <w:qFormat/>
    <w:uiPriority w:val="0"/>
    <w:pPr>
      <w:ind w:left="1680"/>
    </w:pPr>
  </w:style>
  <w:style w:type="paragraph" w:styleId="20">
    <w:name w:val="toc 3"/>
    <w:basedOn w:val="1"/>
    <w:next w:val="1"/>
    <w:qFormat/>
    <w:uiPriority w:val="39"/>
    <w:pPr>
      <w:ind w:left="840"/>
    </w:pPr>
  </w:style>
  <w:style w:type="paragraph" w:styleId="21">
    <w:name w:val="Plain Text"/>
    <w:basedOn w:val="1"/>
    <w:qFormat/>
    <w:uiPriority w:val="0"/>
    <w:rPr>
      <w:rFonts w:ascii="宋体" w:hAnsi="Courier New" w:eastAsia="宋体" w:cs="Courier New"/>
      <w:szCs w:val="21"/>
    </w:rPr>
  </w:style>
  <w:style w:type="paragraph" w:styleId="22">
    <w:name w:val="toc 8"/>
    <w:basedOn w:val="1"/>
    <w:next w:val="1"/>
    <w:qFormat/>
    <w:uiPriority w:val="0"/>
    <w:pPr>
      <w:ind w:left="2940"/>
    </w:pPr>
  </w:style>
  <w:style w:type="paragraph" w:styleId="23">
    <w:name w:val="endnote text"/>
    <w:basedOn w:val="1"/>
    <w:link w:val="193"/>
    <w:semiHidden/>
    <w:unhideWhenUsed/>
    <w:qFormat/>
    <w:uiPriority w:val="99"/>
    <w:rPr>
      <w:sz w:val="20"/>
    </w:rPr>
  </w:style>
  <w:style w:type="paragraph" w:styleId="24">
    <w:name w:val="footer"/>
    <w:basedOn w:val="1"/>
    <w:link w:val="66"/>
    <w:unhideWhenUsed/>
    <w:qFormat/>
    <w:uiPriority w:val="99"/>
    <w:pPr>
      <w:tabs>
        <w:tab w:val="center" w:pos="7143"/>
        <w:tab w:val="right" w:pos="14287"/>
      </w:tabs>
    </w:pPr>
  </w:style>
  <w:style w:type="paragraph" w:styleId="25">
    <w:name w:val="header"/>
    <w:basedOn w:val="1"/>
    <w:link w:val="64"/>
    <w:unhideWhenUsed/>
    <w:qFormat/>
    <w:uiPriority w:val="99"/>
    <w:pPr>
      <w:tabs>
        <w:tab w:val="center" w:pos="7143"/>
        <w:tab w:val="right" w:pos="14287"/>
      </w:tabs>
    </w:pPr>
  </w:style>
  <w:style w:type="paragraph" w:styleId="26">
    <w:name w:val="toc 1"/>
    <w:basedOn w:val="1"/>
    <w:next w:val="1"/>
    <w:qFormat/>
    <w:uiPriority w:val="39"/>
    <w:pPr>
      <w:tabs>
        <w:tab w:val="left" w:pos="1050"/>
        <w:tab w:val="right" w:leader="dot" w:pos="8937"/>
      </w:tabs>
      <w:spacing w:line="300" w:lineRule="auto"/>
    </w:pPr>
    <w:rPr>
      <w:rFonts w:ascii="宋体" w:hAnsi="宋体"/>
      <w:b/>
      <w:sz w:val="24"/>
    </w:rPr>
  </w:style>
  <w:style w:type="paragraph" w:styleId="27">
    <w:name w:val="toc 4"/>
    <w:basedOn w:val="1"/>
    <w:next w:val="1"/>
    <w:qFormat/>
    <w:uiPriority w:val="0"/>
    <w:pPr>
      <w:ind w:left="1260"/>
    </w:pPr>
  </w:style>
  <w:style w:type="paragraph" w:styleId="28">
    <w:name w:val="Subtitle"/>
    <w:basedOn w:val="1"/>
    <w:next w:val="1"/>
    <w:link w:val="59"/>
    <w:qFormat/>
    <w:uiPriority w:val="11"/>
    <w:pPr>
      <w:spacing w:before="200" w:after="200"/>
    </w:pPr>
    <w:rPr>
      <w:sz w:val="24"/>
    </w:rPr>
  </w:style>
  <w:style w:type="paragraph" w:styleId="29">
    <w:name w:val="footnote text"/>
    <w:basedOn w:val="1"/>
    <w:link w:val="192"/>
    <w:semiHidden/>
    <w:unhideWhenUsed/>
    <w:qFormat/>
    <w:uiPriority w:val="99"/>
    <w:pPr>
      <w:spacing w:after="40"/>
    </w:pPr>
    <w:rPr>
      <w:sz w:val="18"/>
    </w:rPr>
  </w:style>
  <w:style w:type="paragraph" w:styleId="30">
    <w:name w:val="toc 6"/>
    <w:basedOn w:val="1"/>
    <w:next w:val="1"/>
    <w:qFormat/>
    <w:uiPriority w:val="0"/>
    <w:pPr>
      <w:ind w:left="2100"/>
    </w:pPr>
  </w:style>
  <w:style w:type="paragraph" w:styleId="31">
    <w:name w:val="table of figures"/>
    <w:basedOn w:val="1"/>
    <w:next w:val="1"/>
    <w:unhideWhenUsed/>
    <w:qFormat/>
    <w:uiPriority w:val="99"/>
  </w:style>
  <w:style w:type="paragraph" w:styleId="32">
    <w:name w:val="toc 2"/>
    <w:basedOn w:val="1"/>
    <w:next w:val="1"/>
    <w:qFormat/>
    <w:uiPriority w:val="39"/>
    <w:pPr>
      <w:tabs>
        <w:tab w:val="right" w:leader="dot" w:pos="8937"/>
      </w:tabs>
      <w:spacing w:line="312" w:lineRule="auto"/>
      <w:ind w:left="420"/>
    </w:pPr>
  </w:style>
  <w:style w:type="paragraph" w:styleId="33">
    <w:name w:val="toc 9"/>
    <w:basedOn w:val="1"/>
    <w:next w:val="1"/>
    <w:qFormat/>
    <w:uiPriority w:val="0"/>
    <w:pPr>
      <w:ind w:left="3360"/>
    </w:pPr>
  </w:style>
  <w:style w:type="paragraph" w:styleId="34">
    <w:name w:val="Title"/>
    <w:basedOn w:val="1"/>
    <w:next w:val="1"/>
    <w:link w:val="58"/>
    <w:qFormat/>
    <w:uiPriority w:val="10"/>
    <w:pPr>
      <w:spacing w:before="300" w:after="200"/>
      <w:contextualSpacing/>
    </w:pPr>
    <w:rPr>
      <w:sz w:val="48"/>
      <w:szCs w:val="48"/>
    </w:rPr>
  </w:style>
  <w:style w:type="paragraph" w:styleId="35">
    <w:name w:val="Body Text First Indent 2"/>
    <w:basedOn w:val="16"/>
    <w:next w:val="1"/>
    <w:qFormat/>
    <w:uiPriority w:val="0"/>
    <w:pPr>
      <w:spacing w:after="120" w:line="480" w:lineRule="exact"/>
      <w:ind w:left="420" w:leftChars="200" w:firstLine="420" w:firstLineChars="200"/>
    </w:pPr>
    <w:rPr>
      <w:szCs w:val="20"/>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annotation reference"/>
    <w:qFormat/>
    <w:uiPriority w:val="0"/>
    <w:rPr>
      <w:sz w:val="21"/>
      <w:szCs w:val="21"/>
    </w:rPr>
  </w:style>
  <w:style w:type="character" w:styleId="43">
    <w:name w:val="footnote reference"/>
    <w:unhideWhenUsed/>
    <w:qFormat/>
    <w:uiPriority w:val="99"/>
    <w:rPr>
      <w:vertAlign w:val="superscript"/>
    </w:rPr>
  </w:style>
  <w:style w:type="paragraph" w:customStyle="1" w:styleId="44">
    <w:name w:val="Default"/>
    <w:next w:val="1"/>
    <w:qFormat/>
    <w:uiPriority w:val="0"/>
    <w:pPr>
      <w:widowControl w:val="0"/>
    </w:pPr>
    <w:rPr>
      <w:rFonts w:ascii="Symbol" w:hAnsi="Symbol" w:eastAsia="宋体" w:cs="Symbol"/>
      <w:color w:val="000000"/>
      <w:sz w:val="24"/>
      <w:szCs w:val="24"/>
      <w:lang w:val="en-US" w:eastAsia="zh-CN" w:bidi="ar-SA"/>
    </w:rPr>
  </w:style>
  <w:style w:type="paragraph" w:customStyle="1" w:styleId="45">
    <w:name w:val="表格文字"/>
    <w:basedOn w:val="16"/>
    <w:qFormat/>
    <w:uiPriority w:val="0"/>
    <w:pPr>
      <w:spacing w:before="20" w:after="20" w:line="240" w:lineRule="auto"/>
      <w:ind w:firstLine="0"/>
    </w:pPr>
    <w:rPr>
      <w:rFonts w:ascii="Century Gothic" w:hAnsi="Century Gothic"/>
      <w:sz w:val="20"/>
      <w:szCs w:val="20"/>
    </w:rPr>
  </w:style>
  <w:style w:type="paragraph" w:customStyle="1" w:styleId="46">
    <w:name w:val="目录 11"/>
    <w:basedOn w:val="1"/>
    <w:next w:val="1"/>
    <w:unhideWhenUsed/>
    <w:qFormat/>
    <w:uiPriority w:val="39"/>
    <w:pPr>
      <w:widowControl/>
      <w:spacing w:after="100" w:line="259" w:lineRule="auto"/>
      <w:jc w:val="left"/>
    </w:pPr>
    <w:rPr>
      <w:rFonts w:ascii="Calibri" w:hAnsi="Calibri"/>
      <w:sz w:val="22"/>
      <w:szCs w:val="22"/>
    </w:rPr>
  </w:style>
  <w:style w:type="character" w:customStyle="1" w:styleId="47">
    <w:name w:val="标题 1 Char"/>
    <w:link w:val="2"/>
    <w:qFormat/>
    <w:uiPriority w:val="9"/>
    <w:rPr>
      <w:rFonts w:ascii="Arial" w:hAnsi="Arial" w:eastAsia="Arial" w:cs="Arial"/>
      <w:sz w:val="40"/>
      <w:szCs w:val="40"/>
    </w:rPr>
  </w:style>
  <w:style w:type="character" w:customStyle="1" w:styleId="48">
    <w:name w:val="标题 2 Char2"/>
    <w:link w:val="3"/>
    <w:qFormat/>
    <w:uiPriority w:val="9"/>
    <w:rPr>
      <w:rFonts w:ascii="Arial" w:hAnsi="Arial" w:eastAsia="Arial" w:cs="Arial"/>
      <w:sz w:val="34"/>
    </w:rPr>
  </w:style>
  <w:style w:type="character" w:customStyle="1" w:styleId="49">
    <w:name w:val="标题 3 Char1"/>
    <w:link w:val="5"/>
    <w:qFormat/>
    <w:uiPriority w:val="9"/>
    <w:rPr>
      <w:rFonts w:ascii="Arial" w:hAnsi="Arial" w:eastAsia="Arial" w:cs="Arial"/>
      <w:sz w:val="30"/>
      <w:szCs w:val="30"/>
    </w:rPr>
  </w:style>
  <w:style w:type="character" w:customStyle="1" w:styleId="50">
    <w:name w:val="标题 4 Char"/>
    <w:link w:val="6"/>
    <w:qFormat/>
    <w:uiPriority w:val="9"/>
    <w:rPr>
      <w:rFonts w:ascii="Arial" w:hAnsi="Arial" w:eastAsia="Arial" w:cs="Arial"/>
      <w:b/>
      <w:bCs/>
      <w:sz w:val="26"/>
      <w:szCs w:val="26"/>
    </w:rPr>
  </w:style>
  <w:style w:type="character" w:customStyle="1" w:styleId="51">
    <w:name w:val="标题 5 Char"/>
    <w:link w:val="7"/>
    <w:qFormat/>
    <w:uiPriority w:val="9"/>
    <w:rPr>
      <w:rFonts w:ascii="Arial" w:hAnsi="Arial" w:eastAsia="Arial" w:cs="Arial"/>
      <w:b/>
      <w:bCs/>
      <w:sz w:val="24"/>
      <w:szCs w:val="24"/>
    </w:rPr>
  </w:style>
  <w:style w:type="character" w:customStyle="1" w:styleId="52">
    <w:name w:val="标题 6 Char"/>
    <w:link w:val="8"/>
    <w:qFormat/>
    <w:uiPriority w:val="9"/>
    <w:rPr>
      <w:rFonts w:ascii="Arial" w:hAnsi="Arial" w:eastAsia="Arial" w:cs="Arial"/>
      <w:b/>
      <w:bCs/>
      <w:sz w:val="22"/>
      <w:szCs w:val="22"/>
    </w:rPr>
  </w:style>
  <w:style w:type="character" w:customStyle="1" w:styleId="53">
    <w:name w:val="标题 7 Char"/>
    <w:link w:val="9"/>
    <w:qFormat/>
    <w:uiPriority w:val="9"/>
    <w:rPr>
      <w:rFonts w:ascii="Arial" w:hAnsi="Arial" w:eastAsia="Arial" w:cs="Arial"/>
      <w:b/>
      <w:bCs/>
      <w:i/>
      <w:iCs/>
      <w:sz w:val="22"/>
      <w:szCs w:val="22"/>
    </w:rPr>
  </w:style>
  <w:style w:type="character" w:customStyle="1" w:styleId="54">
    <w:name w:val="标题 8 Char"/>
    <w:link w:val="10"/>
    <w:qFormat/>
    <w:uiPriority w:val="9"/>
    <w:rPr>
      <w:rFonts w:ascii="Arial" w:hAnsi="Arial" w:eastAsia="Arial" w:cs="Arial"/>
      <w:i/>
      <w:iCs/>
      <w:sz w:val="22"/>
      <w:szCs w:val="22"/>
    </w:rPr>
  </w:style>
  <w:style w:type="character" w:customStyle="1" w:styleId="55">
    <w:name w:val="标题 9 Char"/>
    <w:link w:val="11"/>
    <w:qFormat/>
    <w:uiPriority w:val="9"/>
    <w:rPr>
      <w:rFonts w:ascii="Arial" w:hAnsi="Arial" w:eastAsia="Arial" w:cs="Arial"/>
      <w:i/>
      <w:iCs/>
      <w:sz w:val="21"/>
      <w:szCs w:val="21"/>
    </w:rPr>
  </w:style>
  <w:style w:type="paragraph" w:styleId="56">
    <w:name w:val="List Paragraph"/>
    <w:basedOn w:val="1"/>
    <w:qFormat/>
    <w:uiPriority w:val="34"/>
    <w:pPr>
      <w:ind w:left="720"/>
      <w:contextualSpacing/>
    </w:pPr>
  </w:style>
  <w:style w:type="paragraph" w:styleId="57">
    <w:name w:val="No Spacing"/>
    <w:qFormat/>
    <w:uiPriority w:val="1"/>
    <w:rPr>
      <w:rFonts w:ascii="Times New Roman" w:hAnsi="Times New Roman" w:eastAsia="宋体" w:cs="Times New Roman"/>
      <w:lang w:val="en-US" w:eastAsia="zh-CN" w:bidi="ar-SA"/>
    </w:rPr>
  </w:style>
  <w:style w:type="character" w:customStyle="1" w:styleId="58">
    <w:name w:val="标题 Char1"/>
    <w:link w:val="34"/>
    <w:qFormat/>
    <w:uiPriority w:val="10"/>
    <w:rPr>
      <w:sz w:val="48"/>
      <w:szCs w:val="48"/>
    </w:rPr>
  </w:style>
  <w:style w:type="character" w:customStyle="1" w:styleId="59">
    <w:name w:val="副标题 Char"/>
    <w:link w:val="28"/>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引用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3">
    <w:name w:val="明显引用 Char"/>
    <w:link w:val="62"/>
    <w:qFormat/>
    <w:uiPriority w:val="30"/>
    <w:rPr>
      <w:i/>
    </w:rPr>
  </w:style>
  <w:style w:type="character" w:customStyle="1" w:styleId="64">
    <w:name w:val="页眉 Char1"/>
    <w:link w:val="25"/>
    <w:qFormat/>
    <w:uiPriority w:val="99"/>
  </w:style>
  <w:style w:type="character" w:customStyle="1" w:styleId="65">
    <w:name w:val="Footer Char"/>
    <w:qFormat/>
    <w:uiPriority w:val="99"/>
  </w:style>
  <w:style w:type="character" w:customStyle="1" w:styleId="66">
    <w:name w:val="页脚 Char1"/>
    <w:link w:val="24"/>
    <w:qFormat/>
    <w:uiPriority w:val="99"/>
  </w:style>
  <w:style w:type="table" w:customStyle="1" w:styleId="6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0">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8">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5">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2">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9">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3">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7">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2">
    <w:name w:val="脚注文本 Char"/>
    <w:link w:val="29"/>
    <w:qFormat/>
    <w:uiPriority w:val="99"/>
    <w:rPr>
      <w:sz w:val="18"/>
    </w:rPr>
  </w:style>
  <w:style w:type="character" w:customStyle="1" w:styleId="193">
    <w:name w:val="尾注文本 Char"/>
    <w:link w:val="23"/>
    <w:qFormat/>
    <w:uiPriority w:val="99"/>
    <w:rPr>
      <w:sz w:val="20"/>
    </w:rPr>
  </w:style>
  <w:style w:type="paragraph" w:customStyle="1" w:styleId="194">
    <w:name w:val="TOC 标题1"/>
    <w:unhideWhenUsed/>
    <w:qFormat/>
    <w:uiPriority w:val="39"/>
    <w:rPr>
      <w:rFonts w:ascii="Times New Roman" w:hAnsi="Times New Roman" w:eastAsia="宋体" w:cs="Times New Roman"/>
      <w:lang w:val="en-US" w:eastAsia="zh-CN" w:bidi="ar-SA"/>
    </w:rPr>
  </w:style>
  <w:style w:type="paragraph" w:customStyle="1" w:styleId="195">
    <w:name w:val="标题 11"/>
    <w:basedOn w:val="1"/>
    <w:next w:val="1"/>
    <w:link w:val="207"/>
    <w:qFormat/>
    <w:uiPriority w:val="0"/>
    <w:pPr>
      <w:keepNext/>
      <w:keepLines/>
      <w:spacing w:before="240" w:after="120" w:line="300" w:lineRule="auto"/>
      <w:jc w:val="center"/>
      <w:outlineLvl w:val="0"/>
    </w:pPr>
    <w:rPr>
      <w:rFonts w:ascii="宋体"/>
      <w:b/>
      <w:sz w:val="32"/>
      <w:szCs w:val="20"/>
    </w:rPr>
  </w:style>
  <w:style w:type="paragraph" w:customStyle="1" w:styleId="196">
    <w:name w:val="标题 21"/>
    <w:basedOn w:val="1"/>
    <w:next w:val="197"/>
    <w:link w:val="208"/>
    <w:qFormat/>
    <w:uiPriority w:val="0"/>
    <w:pPr>
      <w:keepNext/>
      <w:keepLines/>
      <w:spacing w:before="120" w:line="300" w:lineRule="auto"/>
      <w:jc w:val="center"/>
      <w:outlineLvl w:val="1"/>
    </w:pPr>
    <w:rPr>
      <w:rFonts w:ascii="Arial" w:hAnsi="Arial" w:eastAsia="黑体"/>
      <w:b/>
      <w:sz w:val="30"/>
      <w:szCs w:val="20"/>
    </w:rPr>
  </w:style>
  <w:style w:type="paragraph" w:customStyle="1" w:styleId="197">
    <w:name w:val="正文缩进11"/>
    <w:basedOn w:val="1"/>
    <w:next w:val="1"/>
    <w:link w:val="209"/>
    <w:qFormat/>
    <w:uiPriority w:val="0"/>
    <w:pPr>
      <w:ind w:firstLine="420"/>
      <w:jc w:val="left"/>
    </w:pPr>
    <w:rPr>
      <w:rFonts w:ascii="宋体"/>
      <w:sz w:val="24"/>
    </w:rPr>
  </w:style>
  <w:style w:type="paragraph" w:customStyle="1" w:styleId="198">
    <w:name w:val="标题 31"/>
    <w:basedOn w:val="1"/>
    <w:next w:val="197"/>
    <w:link w:val="210"/>
    <w:qFormat/>
    <w:uiPriority w:val="0"/>
    <w:pPr>
      <w:keepNext/>
      <w:keepLines/>
      <w:spacing w:before="360" w:after="120"/>
      <w:jc w:val="left"/>
      <w:outlineLvl w:val="2"/>
    </w:pPr>
    <w:rPr>
      <w:rFonts w:ascii="宋体"/>
      <w:b/>
      <w:sz w:val="24"/>
      <w:szCs w:val="20"/>
      <w:u w:val="single"/>
    </w:rPr>
  </w:style>
  <w:style w:type="paragraph" w:customStyle="1" w:styleId="199">
    <w:name w:val="标题 41"/>
    <w:basedOn w:val="1"/>
    <w:next w:val="1"/>
    <w:link w:val="211"/>
    <w:qFormat/>
    <w:uiPriority w:val="0"/>
    <w:pPr>
      <w:keepNext/>
      <w:keepLines/>
      <w:spacing w:before="280" w:after="290" w:line="376" w:lineRule="atLeast"/>
      <w:outlineLvl w:val="3"/>
    </w:pPr>
    <w:rPr>
      <w:rFonts w:ascii="Arial" w:hAnsi="Arial" w:eastAsia="黑体"/>
      <w:b/>
      <w:sz w:val="28"/>
      <w:szCs w:val="20"/>
    </w:rPr>
  </w:style>
  <w:style w:type="paragraph" w:customStyle="1" w:styleId="200">
    <w:name w:val="标题 51"/>
    <w:basedOn w:val="1"/>
    <w:next w:val="1"/>
    <w:link w:val="212"/>
    <w:qFormat/>
    <w:uiPriority w:val="0"/>
    <w:pPr>
      <w:keepNext/>
      <w:keepLines/>
      <w:spacing w:before="280" w:after="290" w:line="376" w:lineRule="atLeast"/>
      <w:outlineLvl w:val="4"/>
    </w:pPr>
    <w:rPr>
      <w:b/>
      <w:sz w:val="28"/>
      <w:szCs w:val="20"/>
    </w:rPr>
  </w:style>
  <w:style w:type="paragraph" w:customStyle="1" w:styleId="201">
    <w:name w:val="标题 61"/>
    <w:basedOn w:val="1"/>
    <w:next w:val="1"/>
    <w:link w:val="213"/>
    <w:qFormat/>
    <w:uiPriority w:val="0"/>
    <w:pPr>
      <w:keepNext/>
      <w:keepLines/>
      <w:spacing w:before="240" w:after="64" w:line="320" w:lineRule="atLeast"/>
      <w:outlineLvl w:val="5"/>
    </w:pPr>
    <w:rPr>
      <w:rFonts w:ascii="Arial" w:hAnsi="Arial" w:eastAsia="黑体"/>
      <w:b/>
      <w:sz w:val="24"/>
      <w:szCs w:val="20"/>
    </w:rPr>
  </w:style>
  <w:style w:type="paragraph" w:customStyle="1" w:styleId="202">
    <w:name w:val="标题 71"/>
    <w:basedOn w:val="1"/>
    <w:next w:val="1"/>
    <w:link w:val="214"/>
    <w:qFormat/>
    <w:uiPriority w:val="0"/>
    <w:pPr>
      <w:keepNext/>
      <w:keepLines/>
      <w:spacing w:before="240" w:after="64" w:line="320" w:lineRule="atLeast"/>
      <w:outlineLvl w:val="6"/>
    </w:pPr>
    <w:rPr>
      <w:b/>
      <w:sz w:val="24"/>
      <w:szCs w:val="20"/>
    </w:rPr>
  </w:style>
  <w:style w:type="paragraph" w:customStyle="1" w:styleId="203">
    <w:name w:val="标题 81"/>
    <w:basedOn w:val="1"/>
    <w:next w:val="1"/>
    <w:link w:val="215"/>
    <w:qFormat/>
    <w:uiPriority w:val="0"/>
    <w:pPr>
      <w:keepNext/>
      <w:keepLines/>
      <w:spacing w:before="240" w:after="64" w:line="320" w:lineRule="atLeast"/>
      <w:outlineLvl w:val="7"/>
    </w:pPr>
    <w:rPr>
      <w:rFonts w:ascii="Arial" w:hAnsi="Arial" w:eastAsia="黑体"/>
      <w:sz w:val="24"/>
      <w:szCs w:val="20"/>
    </w:rPr>
  </w:style>
  <w:style w:type="paragraph" w:customStyle="1" w:styleId="204">
    <w:name w:val="标题 91"/>
    <w:basedOn w:val="1"/>
    <w:next w:val="1"/>
    <w:link w:val="216"/>
    <w:qFormat/>
    <w:uiPriority w:val="0"/>
    <w:pPr>
      <w:keepNext/>
      <w:keepLines/>
      <w:spacing w:before="240" w:after="64" w:line="320" w:lineRule="atLeast"/>
      <w:outlineLvl w:val="8"/>
    </w:pPr>
    <w:rPr>
      <w:rFonts w:ascii="Arial" w:hAnsi="Arial" w:eastAsia="黑体"/>
      <w:szCs w:val="20"/>
    </w:rPr>
  </w:style>
  <w:style w:type="character" w:customStyle="1" w:styleId="205">
    <w:name w:val="默认段落字体1"/>
    <w:unhideWhenUsed/>
    <w:qFormat/>
    <w:uiPriority w:val="1"/>
  </w:style>
  <w:style w:type="table" w:customStyle="1" w:styleId="206">
    <w:name w:val="普通表格1"/>
    <w:unhideWhenUsed/>
    <w:qFormat/>
    <w:uiPriority w:val="99"/>
    <w:tblPr>
      <w:tblCellMar>
        <w:top w:w="0" w:type="dxa"/>
        <w:left w:w="0" w:type="dxa"/>
        <w:bottom w:w="0" w:type="dxa"/>
        <w:right w:w="0" w:type="dxa"/>
      </w:tblCellMar>
    </w:tblPr>
  </w:style>
  <w:style w:type="character" w:customStyle="1" w:styleId="207">
    <w:name w:val="标题 1 字符"/>
    <w:link w:val="195"/>
    <w:qFormat/>
    <w:uiPriority w:val="0"/>
    <w:rPr>
      <w:rFonts w:ascii="宋体"/>
      <w:b/>
      <w:sz w:val="32"/>
    </w:rPr>
  </w:style>
  <w:style w:type="character" w:customStyle="1" w:styleId="208">
    <w:name w:val="标题 2 字符"/>
    <w:link w:val="196"/>
    <w:qFormat/>
    <w:uiPriority w:val="0"/>
    <w:rPr>
      <w:rFonts w:ascii="Arial" w:hAnsi="Arial" w:eastAsia="黑体"/>
      <w:b/>
      <w:sz w:val="30"/>
      <w:lang w:val="en-US" w:eastAsia="zh-CN" w:bidi="ar-SA"/>
    </w:rPr>
  </w:style>
  <w:style w:type="character" w:customStyle="1" w:styleId="209">
    <w:name w:val="正文缩进 字符"/>
    <w:link w:val="197"/>
    <w:qFormat/>
    <w:uiPriority w:val="0"/>
    <w:rPr>
      <w:rFonts w:ascii="宋体" w:eastAsia="宋体"/>
      <w:sz w:val="24"/>
      <w:szCs w:val="24"/>
      <w:lang w:val="en-US" w:eastAsia="zh-CN" w:bidi="ar-SA"/>
    </w:rPr>
  </w:style>
  <w:style w:type="character" w:customStyle="1" w:styleId="210">
    <w:name w:val="标题 3 字符"/>
    <w:link w:val="198"/>
    <w:qFormat/>
    <w:uiPriority w:val="0"/>
    <w:rPr>
      <w:rFonts w:ascii="宋体" w:eastAsia="宋体"/>
      <w:b/>
      <w:sz w:val="24"/>
      <w:u w:val="single"/>
      <w:lang w:val="en-US" w:eastAsia="zh-CN" w:bidi="ar-SA"/>
    </w:rPr>
  </w:style>
  <w:style w:type="character" w:customStyle="1" w:styleId="211">
    <w:name w:val="标题 4 字符"/>
    <w:link w:val="199"/>
    <w:qFormat/>
    <w:uiPriority w:val="0"/>
    <w:rPr>
      <w:rFonts w:ascii="Arial" w:hAnsi="Arial" w:eastAsia="黑体"/>
      <w:b/>
      <w:sz w:val="28"/>
    </w:rPr>
  </w:style>
  <w:style w:type="character" w:customStyle="1" w:styleId="212">
    <w:name w:val="标题 5 字符"/>
    <w:link w:val="200"/>
    <w:qFormat/>
    <w:uiPriority w:val="0"/>
    <w:rPr>
      <w:b/>
      <w:sz w:val="28"/>
    </w:rPr>
  </w:style>
  <w:style w:type="character" w:customStyle="1" w:styleId="213">
    <w:name w:val="标题 6 字符"/>
    <w:link w:val="201"/>
    <w:qFormat/>
    <w:uiPriority w:val="0"/>
    <w:rPr>
      <w:rFonts w:ascii="Arial" w:hAnsi="Arial" w:eastAsia="黑体"/>
      <w:b/>
      <w:sz w:val="24"/>
    </w:rPr>
  </w:style>
  <w:style w:type="character" w:customStyle="1" w:styleId="214">
    <w:name w:val="标题 7 字符"/>
    <w:link w:val="202"/>
    <w:qFormat/>
    <w:uiPriority w:val="0"/>
    <w:rPr>
      <w:b/>
      <w:sz w:val="24"/>
    </w:rPr>
  </w:style>
  <w:style w:type="character" w:customStyle="1" w:styleId="215">
    <w:name w:val="标题 8 字符"/>
    <w:link w:val="203"/>
    <w:qFormat/>
    <w:uiPriority w:val="0"/>
    <w:rPr>
      <w:rFonts w:ascii="Arial" w:hAnsi="Arial" w:eastAsia="黑体"/>
      <w:sz w:val="24"/>
    </w:rPr>
  </w:style>
  <w:style w:type="character" w:customStyle="1" w:styleId="216">
    <w:name w:val="标题 9 字符"/>
    <w:link w:val="204"/>
    <w:qFormat/>
    <w:uiPriority w:val="0"/>
    <w:rPr>
      <w:rFonts w:ascii="Arial" w:hAnsi="Arial" w:eastAsia="黑体"/>
      <w:sz w:val="21"/>
    </w:rPr>
  </w:style>
  <w:style w:type="paragraph" w:customStyle="1" w:styleId="217">
    <w:name w:val="题注1"/>
    <w:basedOn w:val="1"/>
    <w:next w:val="1"/>
    <w:qFormat/>
    <w:uiPriority w:val="0"/>
    <w:pPr>
      <w:spacing w:line="480" w:lineRule="auto"/>
    </w:pPr>
    <w:rPr>
      <w:rFonts w:ascii="华文中宋" w:hAnsi="华文中宋" w:eastAsia="华文中宋"/>
      <w:sz w:val="36"/>
      <w:szCs w:val="20"/>
    </w:rPr>
  </w:style>
  <w:style w:type="paragraph" w:customStyle="1" w:styleId="218">
    <w:name w:val="文档结构图1"/>
    <w:basedOn w:val="1"/>
    <w:link w:val="219"/>
    <w:qFormat/>
    <w:uiPriority w:val="0"/>
    <w:pPr>
      <w:shd w:val="clear" w:color="auto" w:fill="000080"/>
    </w:pPr>
  </w:style>
  <w:style w:type="character" w:customStyle="1" w:styleId="219">
    <w:name w:val="文档结构图 字符"/>
    <w:link w:val="218"/>
    <w:qFormat/>
    <w:uiPriority w:val="0"/>
    <w:rPr>
      <w:sz w:val="21"/>
      <w:szCs w:val="24"/>
      <w:shd w:val="clear" w:color="auto" w:fill="000080"/>
    </w:rPr>
  </w:style>
  <w:style w:type="paragraph" w:customStyle="1" w:styleId="220">
    <w:name w:val="批注文字1"/>
    <w:basedOn w:val="1"/>
    <w:link w:val="221"/>
    <w:qFormat/>
    <w:uiPriority w:val="99"/>
    <w:pPr>
      <w:jc w:val="left"/>
    </w:pPr>
  </w:style>
  <w:style w:type="character" w:customStyle="1" w:styleId="221">
    <w:name w:val="批注文字 字符1"/>
    <w:link w:val="220"/>
    <w:qFormat/>
    <w:uiPriority w:val="99"/>
    <w:rPr>
      <w:sz w:val="21"/>
      <w:szCs w:val="24"/>
    </w:rPr>
  </w:style>
  <w:style w:type="paragraph" w:customStyle="1" w:styleId="222">
    <w:name w:val="正文文本 31"/>
    <w:basedOn w:val="1"/>
    <w:link w:val="223"/>
    <w:qFormat/>
    <w:uiPriority w:val="0"/>
    <w:pPr>
      <w:spacing w:after="120"/>
    </w:pPr>
    <w:rPr>
      <w:sz w:val="16"/>
      <w:szCs w:val="16"/>
    </w:rPr>
  </w:style>
  <w:style w:type="character" w:customStyle="1" w:styleId="223">
    <w:name w:val="正文文本 3 字符"/>
    <w:link w:val="222"/>
    <w:qFormat/>
    <w:uiPriority w:val="0"/>
    <w:rPr>
      <w:sz w:val="16"/>
      <w:szCs w:val="16"/>
    </w:rPr>
  </w:style>
  <w:style w:type="paragraph" w:customStyle="1" w:styleId="224">
    <w:name w:val="正文文本1"/>
    <w:basedOn w:val="1"/>
    <w:link w:val="225"/>
    <w:qFormat/>
    <w:uiPriority w:val="0"/>
    <w:pPr>
      <w:tabs>
        <w:tab w:val="left" w:pos="567"/>
      </w:tabs>
      <w:spacing w:before="120" w:line="22" w:lineRule="atLeast"/>
    </w:pPr>
    <w:rPr>
      <w:rFonts w:ascii="宋体" w:hAnsi="宋体"/>
      <w:sz w:val="24"/>
    </w:rPr>
  </w:style>
  <w:style w:type="character" w:customStyle="1" w:styleId="225">
    <w:name w:val="正文文本 字符"/>
    <w:link w:val="224"/>
    <w:qFormat/>
    <w:uiPriority w:val="0"/>
    <w:rPr>
      <w:rFonts w:ascii="宋体" w:hAnsi="宋体"/>
      <w:sz w:val="24"/>
      <w:szCs w:val="24"/>
    </w:rPr>
  </w:style>
  <w:style w:type="paragraph" w:customStyle="1" w:styleId="226">
    <w:name w:val="正文文本缩进11"/>
    <w:basedOn w:val="1"/>
    <w:link w:val="227"/>
    <w:qFormat/>
    <w:uiPriority w:val="0"/>
    <w:pPr>
      <w:spacing w:line="360" w:lineRule="auto"/>
      <w:ind w:firstLine="570"/>
    </w:pPr>
    <w:rPr>
      <w:sz w:val="24"/>
    </w:rPr>
  </w:style>
  <w:style w:type="character" w:customStyle="1" w:styleId="227">
    <w:name w:val="正文文本缩进 字符"/>
    <w:link w:val="226"/>
    <w:qFormat/>
    <w:uiPriority w:val="0"/>
    <w:rPr>
      <w:rFonts w:eastAsia="宋体"/>
      <w:sz w:val="24"/>
      <w:szCs w:val="24"/>
      <w:lang w:val="en-US" w:eastAsia="zh-CN" w:bidi="ar-SA"/>
    </w:rPr>
  </w:style>
  <w:style w:type="paragraph" w:customStyle="1" w:styleId="228">
    <w:name w:val="列表 21"/>
    <w:basedOn w:val="1"/>
    <w:qFormat/>
    <w:uiPriority w:val="0"/>
    <w:pPr>
      <w:ind w:left="100" w:hanging="200"/>
    </w:pPr>
  </w:style>
  <w:style w:type="paragraph" w:customStyle="1" w:styleId="229">
    <w:name w:val="文本块1"/>
    <w:basedOn w:val="1"/>
    <w:qFormat/>
    <w:uiPriority w:val="0"/>
    <w:pPr>
      <w:widowControl/>
      <w:ind w:left="480" w:right="-341" w:firstLine="513"/>
    </w:pPr>
    <w:rPr>
      <w:sz w:val="24"/>
      <w:szCs w:val="20"/>
    </w:rPr>
  </w:style>
  <w:style w:type="paragraph" w:customStyle="1" w:styleId="230">
    <w:name w:val="纯文本1"/>
    <w:basedOn w:val="1"/>
    <w:next w:val="197"/>
    <w:link w:val="231"/>
    <w:qFormat/>
    <w:uiPriority w:val="0"/>
    <w:rPr>
      <w:rFonts w:hint="eastAsia" w:ascii="宋体" w:hAnsi="Courier New"/>
      <w:szCs w:val="20"/>
    </w:rPr>
  </w:style>
  <w:style w:type="character" w:customStyle="1" w:styleId="231">
    <w:name w:val="纯文本 字符2"/>
    <w:link w:val="230"/>
    <w:qFormat/>
    <w:uiPriority w:val="0"/>
    <w:rPr>
      <w:rFonts w:hint="eastAsia" w:ascii="宋体" w:hAnsi="Courier New" w:eastAsia="宋体" w:cs="宋体"/>
      <w:sz w:val="21"/>
    </w:rPr>
  </w:style>
  <w:style w:type="paragraph" w:customStyle="1" w:styleId="232">
    <w:name w:val="日期1"/>
    <w:basedOn w:val="1"/>
    <w:next w:val="1"/>
    <w:link w:val="233"/>
    <w:qFormat/>
    <w:uiPriority w:val="0"/>
    <w:pPr>
      <w:ind w:left="100"/>
    </w:pPr>
    <w:rPr>
      <w:rFonts w:ascii="仿宋_GB2312" w:hAnsi="宋体" w:eastAsia="仿宋_GB2312"/>
      <w:color w:val="000000"/>
      <w:sz w:val="24"/>
    </w:rPr>
  </w:style>
  <w:style w:type="character" w:customStyle="1" w:styleId="233">
    <w:name w:val="日期 字符"/>
    <w:link w:val="232"/>
    <w:qFormat/>
    <w:uiPriority w:val="0"/>
    <w:rPr>
      <w:rFonts w:ascii="仿宋_GB2312" w:hAnsi="宋体" w:eastAsia="仿宋_GB2312"/>
      <w:color w:val="000000"/>
      <w:sz w:val="24"/>
      <w:szCs w:val="24"/>
    </w:rPr>
  </w:style>
  <w:style w:type="paragraph" w:customStyle="1" w:styleId="234">
    <w:name w:val="正文文本缩进 21"/>
    <w:basedOn w:val="1"/>
    <w:link w:val="235"/>
    <w:qFormat/>
    <w:uiPriority w:val="0"/>
    <w:pPr>
      <w:ind w:firstLine="480"/>
    </w:pPr>
    <w:rPr>
      <w:rFonts w:ascii="仿宋_GB2312" w:eastAsia="仿宋_GB2312"/>
      <w:sz w:val="24"/>
    </w:rPr>
  </w:style>
  <w:style w:type="character" w:customStyle="1" w:styleId="235">
    <w:name w:val="正文文本缩进 2 字符"/>
    <w:link w:val="234"/>
    <w:qFormat/>
    <w:uiPriority w:val="0"/>
    <w:rPr>
      <w:rFonts w:ascii="仿宋_GB2312" w:eastAsia="仿宋_GB2312"/>
      <w:sz w:val="24"/>
      <w:szCs w:val="24"/>
    </w:rPr>
  </w:style>
  <w:style w:type="paragraph" w:customStyle="1" w:styleId="236">
    <w:name w:val="批注框文本1"/>
    <w:basedOn w:val="1"/>
    <w:link w:val="237"/>
    <w:qFormat/>
    <w:uiPriority w:val="0"/>
    <w:rPr>
      <w:sz w:val="18"/>
      <w:szCs w:val="18"/>
    </w:rPr>
  </w:style>
  <w:style w:type="character" w:customStyle="1" w:styleId="237">
    <w:name w:val="批注框文本 字符"/>
    <w:link w:val="236"/>
    <w:qFormat/>
    <w:uiPriority w:val="0"/>
    <w:rPr>
      <w:sz w:val="18"/>
      <w:szCs w:val="18"/>
    </w:rPr>
  </w:style>
  <w:style w:type="paragraph" w:customStyle="1" w:styleId="238">
    <w:name w:val="页脚1"/>
    <w:basedOn w:val="1"/>
    <w:link w:val="239"/>
    <w:qFormat/>
    <w:uiPriority w:val="99"/>
    <w:pPr>
      <w:tabs>
        <w:tab w:val="center" w:pos="4153"/>
        <w:tab w:val="right" w:pos="8306"/>
      </w:tabs>
      <w:jc w:val="left"/>
    </w:pPr>
    <w:rPr>
      <w:rFonts w:ascii="宋体"/>
      <w:sz w:val="18"/>
      <w:szCs w:val="20"/>
    </w:rPr>
  </w:style>
  <w:style w:type="character" w:customStyle="1" w:styleId="239">
    <w:name w:val="页脚 字符"/>
    <w:link w:val="238"/>
    <w:qFormat/>
    <w:uiPriority w:val="99"/>
    <w:rPr>
      <w:rFonts w:ascii="宋体" w:eastAsia="宋体"/>
      <w:sz w:val="18"/>
      <w:lang w:val="en-US" w:eastAsia="zh-CN" w:bidi="ar-SA"/>
    </w:rPr>
  </w:style>
  <w:style w:type="paragraph" w:customStyle="1" w:styleId="240">
    <w:name w:val="寄信人地址1"/>
    <w:basedOn w:val="1"/>
    <w:qFormat/>
    <w:uiPriority w:val="0"/>
    <w:rPr>
      <w:rFonts w:ascii="Arial" w:hAnsi="Arial"/>
    </w:rPr>
  </w:style>
  <w:style w:type="paragraph" w:customStyle="1" w:styleId="241">
    <w:name w:val="页眉1"/>
    <w:basedOn w:val="1"/>
    <w:link w:val="242"/>
    <w:qFormat/>
    <w:uiPriority w:val="0"/>
    <w:pPr>
      <w:pBdr>
        <w:bottom w:val="none" w:color="000000" w:sz="0" w:space="1"/>
      </w:pBdr>
      <w:tabs>
        <w:tab w:val="center" w:pos="4153"/>
        <w:tab w:val="right" w:pos="8306"/>
      </w:tabs>
      <w:jc w:val="center"/>
    </w:pPr>
    <w:rPr>
      <w:sz w:val="18"/>
      <w:szCs w:val="18"/>
    </w:rPr>
  </w:style>
  <w:style w:type="character" w:customStyle="1" w:styleId="242">
    <w:name w:val="页眉 字符"/>
    <w:link w:val="241"/>
    <w:qFormat/>
    <w:uiPriority w:val="0"/>
    <w:rPr>
      <w:rFonts w:eastAsia="宋体"/>
      <w:sz w:val="18"/>
      <w:szCs w:val="18"/>
      <w:lang w:val="en-US" w:eastAsia="zh-CN" w:bidi="ar-SA"/>
    </w:rPr>
  </w:style>
  <w:style w:type="paragraph" w:customStyle="1" w:styleId="243">
    <w:name w:val="正文文本缩进 31"/>
    <w:basedOn w:val="1"/>
    <w:link w:val="244"/>
    <w:qFormat/>
    <w:uiPriority w:val="0"/>
    <w:pPr>
      <w:spacing w:before="120" w:line="22" w:lineRule="atLeast"/>
      <w:ind w:left="720" w:firstLine="480"/>
      <w:jc w:val="left"/>
    </w:pPr>
    <w:rPr>
      <w:rFonts w:ascii="宋体"/>
      <w:sz w:val="24"/>
      <w:szCs w:val="20"/>
    </w:rPr>
  </w:style>
  <w:style w:type="character" w:customStyle="1" w:styleId="244">
    <w:name w:val="正文文本缩进 3 字符"/>
    <w:link w:val="243"/>
    <w:qFormat/>
    <w:uiPriority w:val="0"/>
    <w:rPr>
      <w:rFonts w:ascii="宋体"/>
      <w:sz w:val="24"/>
    </w:rPr>
  </w:style>
  <w:style w:type="paragraph" w:customStyle="1" w:styleId="245">
    <w:name w:val="HTML 预设格式1"/>
    <w:basedOn w:val="1"/>
    <w:link w:val="24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6">
    <w:name w:val="HTML 预设格式 字符"/>
    <w:link w:val="245"/>
    <w:qFormat/>
    <w:uiPriority w:val="0"/>
    <w:rPr>
      <w:rFonts w:ascii="宋体" w:hAnsi="宋体" w:cs="宋体"/>
      <w:sz w:val="24"/>
      <w:szCs w:val="24"/>
    </w:rPr>
  </w:style>
  <w:style w:type="paragraph" w:customStyle="1" w:styleId="247">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48">
    <w:name w:val="索引 11"/>
    <w:basedOn w:val="1"/>
    <w:next w:val="1"/>
    <w:qFormat/>
    <w:uiPriority w:val="0"/>
    <w:rPr>
      <w:szCs w:val="20"/>
    </w:rPr>
  </w:style>
  <w:style w:type="paragraph" w:customStyle="1" w:styleId="249">
    <w:name w:val="标题1"/>
    <w:basedOn w:val="1"/>
    <w:link w:val="250"/>
    <w:qFormat/>
    <w:uiPriority w:val="0"/>
    <w:pPr>
      <w:jc w:val="center"/>
      <w:outlineLvl w:val="0"/>
    </w:pPr>
    <w:rPr>
      <w:b/>
      <w:sz w:val="32"/>
      <w:szCs w:val="20"/>
    </w:rPr>
  </w:style>
  <w:style w:type="character" w:customStyle="1" w:styleId="250">
    <w:name w:val="标题 字符"/>
    <w:link w:val="249"/>
    <w:qFormat/>
    <w:uiPriority w:val="0"/>
    <w:rPr>
      <w:b/>
      <w:sz w:val="32"/>
    </w:rPr>
  </w:style>
  <w:style w:type="paragraph" w:customStyle="1" w:styleId="251">
    <w:name w:val="批注主题1"/>
    <w:basedOn w:val="220"/>
    <w:next w:val="220"/>
    <w:link w:val="252"/>
    <w:qFormat/>
    <w:uiPriority w:val="0"/>
    <w:rPr>
      <w:b/>
      <w:bCs/>
    </w:rPr>
  </w:style>
  <w:style w:type="character" w:customStyle="1" w:styleId="252">
    <w:name w:val="批注主题 字符"/>
    <w:link w:val="251"/>
    <w:qFormat/>
    <w:uiPriority w:val="0"/>
    <w:rPr>
      <w:rFonts w:ascii="Times New Roman" w:hAnsi="Times New Roman" w:eastAsia="宋体" w:cs="Times New Roman"/>
      <w:b/>
      <w:bCs/>
      <w:sz w:val="21"/>
      <w:szCs w:val="24"/>
      <w:lang w:val="en-US" w:eastAsia="zh-CN" w:bidi="ar-SA"/>
    </w:rPr>
  </w:style>
  <w:style w:type="paragraph" w:customStyle="1" w:styleId="253">
    <w:name w:val="正文文本首行缩进 21"/>
    <w:basedOn w:val="226"/>
    <w:link w:val="254"/>
    <w:qFormat/>
    <w:uiPriority w:val="99"/>
    <w:pPr>
      <w:spacing w:after="120" w:line="480" w:lineRule="exact"/>
      <w:ind w:left="420" w:firstLine="420"/>
    </w:pPr>
    <w:rPr>
      <w:szCs w:val="20"/>
    </w:rPr>
  </w:style>
  <w:style w:type="character" w:customStyle="1" w:styleId="254">
    <w:name w:val="正文文本首行缩进 2 字符"/>
    <w:link w:val="253"/>
    <w:qFormat/>
    <w:uiPriority w:val="99"/>
    <w:rPr>
      <w:rFonts w:eastAsia="宋体"/>
      <w:sz w:val="24"/>
      <w:szCs w:val="24"/>
      <w:lang w:val="en-US" w:eastAsia="zh-CN" w:bidi="ar-SA"/>
    </w:rPr>
  </w:style>
  <w:style w:type="table" w:customStyle="1" w:styleId="255">
    <w:name w:val="网格型1"/>
    <w:basedOn w:val="206"/>
    <w:qFormat/>
    <w:uiPriority w:val="39"/>
    <w:tblPr>
      <w:tblCellMar>
        <w:top w:w="0" w:type="dxa"/>
        <w:left w:w="0" w:type="dxa"/>
        <w:bottom w:w="0" w:type="dxa"/>
        <w:right w:w="0" w:type="dxa"/>
      </w:tblCellMar>
    </w:tblPr>
  </w:style>
  <w:style w:type="table" w:customStyle="1" w:styleId="256">
    <w:name w:val="中等深浅网格 1 - 着色 21"/>
    <w:basedOn w:val="206"/>
    <w:qFormat/>
    <w:uiPriority w:val="0"/>
    <w:rPr>
      <w:sz w:val="21"/>
      <w:szCs w:val="24"/>
    </w:rPr>
    <w:tblPr>
      <w:tblCellMar>
        <w:top w:w="0" w:type="dxa"/>
        <w:left w:w="0" w:type="dxa"/>
        <w:bottom w:w="0" w:type="dxa"/>
        <w:right w:w="0" w:type="dxa"/>
      </w:tblCellMar>
    </w:tblPr>
  </w:style>
  <w:style w:type="character" w:customStyle="1" w:styleId="257">
    <w:name w:val="要点1"/>
    <w:qFormat/>
    <w:uiPriority w:val="0"/>
    <w:rPr>
      <w:b/>
      <w:bCs/>
    </w:rPr>
  </w:style>
  <w:style w:type="character" w:customStyle="1" w:styleId="258">
    <w:name w:val="页码1"/>
    <w:qFormat/>
    <w:uiPriority w:val="0"/>
  </w:style>
  <w:style w:type="character" w:customStyle="1" w:styleId="259">
    <w:name w:val="访问过的超链接1"/>
    <w:qFormat/>
    <w:uiPriority w:val="0"/>
    <w:rPr>
      <w:color w:val="800080"/>
      <w:u w:val="single"/>
    </w:rPr>
  </w:style>
  <w:style w:type="character" w:customStyle="1" w:styleId="260">
    <w:name w:val="强调1"/>
    <w:qFormat/>
    <w:uiPriority w:val="0"/>
    <w:rPr>
      <w:color w:val="CC0033"/>
    </w:rPr>
  </w:style>
  <w:style w:type="character" w:customStyle="1" w:styleId="261">
    <w:name w:val="超链接1"/>
    <w:qFormat/>
    <w:uiPriority w:val="99"/>
    <w:rPr>
      <w:color w:val="0000FF"/>
      <w:u w:val="single"/>
    </w:rPr>
  </w:style>
  <w:style w:type="character" w:customStyle="1" w:styleId="262">
    <w:name w:val="批注引用1"/>
    <w:qFormat/>
    <w:uiPriority w:val="99"/>
    <w:rPr>
      <w:sz w:val="21"/>
      <w:szCs w:val="21"/>
    </w:rPr>
  </w:style>
  <w:style w:type="character" w:customStyle="1" w:styleId="263">
    <w:name w:val="HTML 引文1"/>
    <w:qFormat/>
    <w:uiPriority w:val="0"/>
    <w:rPr>
      <w:i/>
      <w:iCs/>
    </w:rPr>
  </w:style>
  <w:style w:type="paragraph" w:customStyle="1" w:styleId="264">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65">
    <w:name w:val="批注文字 字符"/>
    <w:qFormat/>
    <w:uiPriority w:val="99"/>
    <w:rPr>
      <w:rFonts w:ascii="Times New Roman" w:hAnsi="Times New Roman" w:eastAsia="宋体" w:cs="Times New Roman"/>
      <w:sz w:val="24"/>
      <w:lang w:val="en-US" w:eastAsia="zh-CN" w:bidi="ar-SA"/>
    </w:rPr>
  </w:style>
  <w:style w:type="character" w:customStyle="1" w:styleId="266">
    <w:name w:val="c21"/>
    <w:qFormat/>
    <w:uiPriority w:val="0"/>
    <w:rPr>
      <w:rFonts w:ascii="ˎ̥" w:hAnsi="ˎ̥"/>
      <w:color w:val="000000"/>
      <w:sz w:val="20"/>
      <w:szCs w:val="20"/>
      <w:u w:val="none"/>
    </w:rPr>
  </w:style>
  <w:style w:type="character" w:customStyle="1" w:styleId="267">
    <w:name w:val="title4"/>
    <w:qFormat/>
    <w:uiPriority w:val="0"/>
    <w:rPr>
      <w:b/>
      <w:bCs/>
      <w:color w:val="1D87B3"/>
      <w:sz w:val="15"/>
      <w:szCs w:val="15"/>
    </w:rPr>
  </w:style>
  <w:style w:type="character" w:customStyle="1" w:styleId="268">
    <w:name w:val="标题 2 Char Char"/>
    <w:qFormat/>
    <w:uiPriority w:val="0"/>
    <w:rPr>
      <w:rFonts w:ascii="Arial" w:hAnsi="Arial" w:eastAsia="黑体"/>
      <w:b/>
      <w:bCs/>
      <w:sz w:val="32"/>
      <w:szCs w:val="32"/>
      <w:lang w:val="en-US" w:eastAsia="zh-CN" w:bidi="ar-SA"/>
    </w:rPr>
  </w:style>
  <w:style w:type="character" w:customStyle="1" w:styleId="269">
    <w:name w:val="black1"/>
    <w:qFormat/>
    <w:uiPriority w:val="0"/>
    <w:rPr>
      <w:color w:val="000000"/>
    </w:rPr>
  </w:style>
  <w:style w:type="character" w:customStyle="1" w:styleId="270">
    <w:name w:val="street-address"/>
    <w:qFormat/>
    <w:uiPriority w:val="0"/>
  </w:style>
  <w:style w:type="character" w:customStyle="1" w:styleId="271">
    <w:name w:val="locality"/>
    <w:qFormat/>
    <w:uiPriority w:val="0"/>
  </w:style>
  <w:style w:type="character" w:customStyle="1" w:styleId="272">
    <w:name w:val="正文文本缩进 Char1"/>
    <w:link w:val="273"/>
    <w:qFormat/>
    <w:uiPriority w:val="0"/>
    <w:rPr>
      <w:rFonts w:ascii="宋体" w:hAnsi="宋体" w:eastAsia="宋体"/>
      <w:sz w:val="24"/>
      <w:szCs w:val="24"/>
      <w:lang w:bidi="ar-SA"/>
    </w:rPr>
  </w:style>
  <w:style w:type="paragraph" w:customStyle="1" w:styleId="273">
    <w:name w:val="正文文本缩进1"/>
    <w:basedOn w:val="1"/>
    <w:link w:val="272"/>
    <w:qFormat/>
    <w:uiPriority w:val="0"/>
    <w:pPr>
      <w:spacing w:line="480" w:lineRule="exact"/>
      <w:ind w:firstLine="480"/>
    </w:pPr>
    <w:rPr>
      <w:rFonts w:ascii="宋体" w:hAnsi="宋体"/>
      <w:sz w:val="24"/>
    </w:rPr>
  </w:style>
  <w:style w:type="character" w:customStyle="1" w:styleId="274">
    <w:name w:val="Char Char11"/>
    <w:qFormat/>
    <w:uiPriority w:val="0"/>
    <w:rPr>
      <w:rFonts w:ascii="宋体" w:eastAsia="宋体"/>
      <w:b/>
      <w:sz w:val="24"/>
      <w:u w:val="single"/>
      <w:lang w:val="en-US" w:eastAsia="zh-CN" w:bidi="ar-SA"/>
    </w:rPr>
  </w:style>
  <w:style w:type="character" w:customStyle="1" w:styleId="275">
    <w:name w:val="txt"/>
    <w:qFormat/>
    <w:uiPriority w:val="0"/>
  </w:style>
  <w:style w:type="character" w:customStyle="1" w:styleId="276">
    <w:name w:val="正文缩进 Char Char"/>
    <w:link w:val="277"/>
    <w:qFormat/>
    <w:uiPriority w:val="0"/>
    <w:rPr>
      <w:rFonts w:ascii="宋体" w:eastAsia="宋体"/>
      <w:color w:val="000000"/>
      <w:sz w:val="28"/>
      <w:lang w:bidi="ar-SA"/>
    </w:rPr>
  </w:style>
  <w:style w:type="paragraph" w:customStyle="1" w:styleId="277">
    <w:name w:val="正文缩进1"/>
    <w:basedOn w:val="1"/>
    <w:link w:val="276"/>
    <w:qFormat/>
    <w:uiPriority w:val="0"/>
    <w:pPr>
      <w:widowControl/>
      <w:spacing w:line="480" w:lineRule="exact"/>
      <w:ind w:firstLine="567"/>
    </w:pPr>
    <w:rPr>
      <w:rFonts w:ascii="宋体"/>
      <w:color w:val="000000"/>
      <w:sz w:val="28"/>
      <w:szCs w:val="20"/>
    </w:rPr>
  </w:style>
  <w:style w:type="character" w:customStyle="1" w:styleId="278">
    <w:name w:val="普通文字1 Char1"/>
    <w:qFormat/>
    <w:uiPriority w:val="0"/>
    <w:rPr>
      <w:rFonts w:ascii="宋体" w:hAnsi="Courier New" w:eastAsia="宋体"/>
      <w:sz w:val="21"/>
      <w:lang w:val="en-US" w:eastAsia="zh-CN" w:bidi="ar-SA"/>
    </w:rPr>
  </w:style>
  <w:style w:type="character" w:customStyle="1" w:styleId="279">
    <w:name w:val="chanpin1"/>
    <w:qFormat/>
    <w:uiPriority w:val="0"/>
    <w:rPr>
      <w:rFonts w:ascii="ˎ̥" w:hAnsi="ˎ̥"/>
      <w:color w:val="000000"/>
      <w:sz w:val="20"/>
      <w:szCs w:val="20"/>
      <w:u w:val="none"/>
    </w:rPr>
  </w:style>
  <w:style w:type="character" w:customStyle="1" w:styleId="280">
    <w:name w:val="列表段落 字符"/>
    <w:link w:val="281"/>
    <w:qFormat/>
    <w:uiPriority w:val="34"/>
    <w:rPr>
      <w:rFonts w:ascii="Calibri" w:hAnsi="Calibri" w:eastAsia="宋体"/>
      <w:sz w:val="21"/>
      <w:szCs w:val="22"/>
      <w:lang w:val="en-US" w:eastAsia="zh-CN" w:bidi="ar-SA"/>
    </w:rPr>
  </w:style>
  <w:style w:type="paragraph" w:customStyle="1" w:styleId="281">
    <w:name w:val="列表段落1"/>
    <w:basedOn w:val="1"/>
    <w:link w:val="280"/>
    <w:qFormat/>
    <w:uiPriority w:val="34"/>
    <w:pPr>
      <w:ind w:firstLine="420"/>
    </w:pPr>
    <w:rPr>
      <w:rFonts w:ascii="Calibri" w:hAnsi="Calibri"/>
      <w:szCs w:val="22"/>
    </w:rPr>
  </w:style>
  <w:style w:type="character" w:customStyle="1" w:styleId="282">
    <w:name w:val="标题 3 Char Char"/>
    <w:qFormat/>
    <w:uiPriority w:val="0"/>
    <w:rPr>
      <w:rFonts w:eastAsia="宋体"/>
      <w:b/>
      <w:bCs/>
      <w:sz w:val="32"/>
      <w:szCs w:val="32"/>
      <w:lang w:val="en-US" w:eastAsia="zh-CN" w:bidi="ar-SA"/>
    </w:rPr>
  </w:style>
  <w:style w:type="character" w:customStyle="1" w:styleId="283">
    <w:name w:val="段1 Char"/>
    <w:qFormat/>
    <w:uiPriority w:val="0"/>
    <w:rPr>
      <w:rFonts w:ascii="宋体" w:eastAsia="宋体"/>
      <w:sz w:val="24"/>
      <w:lang w:val="en-US" w:eastAsia="zh-CN" w:bidi="ar-SA"/>
    </w:rPr>
  </w:style>
  <w:style w:type="character" w:customStyle="1" w:styleId="284">
    <w:name w:val="chanpin拷贝"/>
    <w:qFormat/>
    <w:uiPriority w:val="0"/>
  </w:style>
  <w:style w:type="character" w:customStyle="1" w:styleId="285">
    <w:name w:val="纯文本 Char1"/>
    <w:qFormat/>
    <w:uiPriority w:val="0"/>
    <w:rPr>
      <w:rFonts w:ascii="宋体" w:hAnsi="Courier New" w:eastAsia="宋体"/>
      <w:sz w:val="21"/>
      <w:lang w:val="en-US" w:eastAsia="zh-CN" w:bidi="ar-SA"/>
    </w:rPr>
  </w:style>
  <w:style w:type="character" w:customStyle="1" w:styleId="286">
    <w:name w:val="apple-style-span"/>
    <w:qFormat/>
    <w:uiPriority w:val="0"/>
    <w:rPr>
      <w:rFonts w:cs="Times New Roman"/>
    </w:rPr>
  </w:style>
  <w:style w:type="paragraph" w:customStyle="1" w:styleId="287">
    <w:name w:val="二级条标题"/>
    <w:basedOn w:val="288"/>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88">
    <w:name w:val="一级条标题"/>
    <w:basedOn w:val="289"/>
    <w:next w:val="1"/>
    <w:qFormat/>
    <w:uiPriority w:val="0"/>
    <w:pPr>
      <w:numPr>
        <w:ilvl w:val="1"/>
      </w:numPr>
      <w:tabs>
        <w:tab w:val="left" w:pos="360"/>
        <w:tab w:val="left" w:pos="840"/>
      </w:tabs>
      <w:ind w:left="0" w:hanging="840"/>
      <w:outlineLvl w:val="1"/>
    </w:pPr>
  </w:style>
  <w:style w:type="paragraph" w:customStyle="1" w:styleId="289">
    <w:name w:val="章标题"/>
    <w:next w:val="1"/>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290">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1">
    <w:name w:val="字元 字元"/>
    <w:basedOn w:val="1"/>
    <w:qFormat/>
    <w:uiPriority w:val="0"/>
    <w:rPr>
      <w:rFonts w:ascii="Tahoma" w:hAnsi="Tahoma"/>
      <w:sz w:val="24"/>
      <w:szCs w:val="20"/>
    </w:rPr>
  </w:style>
  <w:style w:type="paragraph" w:customStyle="1" w:styleId="292">
    <w:name w:val="Char3 Char Char Char"/>
    <w:basedOn w:val="1"/>
    <w:qFormat/>
    <w:uiPriority w:val="0"/>
    <w:rPr>
      <w:rFonts w:ascii="Tahoma" w:hAnsi="Tahoma"/>
      <w:sz w:val="24"/>
      <w:szCs w:val="20"/>
    </w:rPr>
  </w:style>
  <w:style w:type="paragraph" w:customStyle="1" w:styleId="293">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4">
    <w:name w:val="项目编号2"/>
    <w:basedOn w:val="295"/>
    <w:qFormat/>
    <w:uiPriority w:val="0"/>
    <w:pPr>
      <w:numPr>
        <w:numId w:val="2"/>
      </w:numPr>
    </w:pPr>
  </w:style>
  <w:style w:type="paragraph" w:customStyle="1" w:styleId="295">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6">
    <w:name w:val="图中文字"/>
    <w:basedOn w:val="1"/>
    <w:qFormat/>
    <w:uiPriority w:val="0"/>
    <w:pPr>
      <w:spacing w:line="0" w:lineRule="atLeast"/>
      <w:jc w:val="center"/>
    </w:pPr>
    <w:rPr>
      <w:sz w:val="24"/>
      <w:szCs w:val="20"/>
    </w:rPr>
  </w:style>
  <w:style w:type="paragraph" w:customStyle="1" w:styleId="297">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8">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9">
    <w:name w:val="Char2"/>
    <w:basedOn w:val="1"/>
    <w:qFormat/>
    <w:uiPriority w:val="0"/>
    <w:rPr>
      <w:rFonts w:ascii="Tahoma" w:hAnsi="Tahoma"/>
      <w:sz w:val="24"/>
      <w:szCs w:val="20"/>
    </w:rPr>
  </w:style>
  <w:style w:type="paragraph" w:customStyle="1" w:styleId="300">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1">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2">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3">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4">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5">
    <w:name w:val="Char Char Char Char Char Char Char"/>
    <w:basedOn w:val="1"/>
    <w:qFormat/>
    <w:uiPriority w:val="0"/>
    <w:pPr>
      <w:spacing w:line="360" w:lineRule="auto"/>
      <w:ind w:firstLine="200"/>
    </w:pPr>
    <w:rPr>
      <w:rFonts w:eastAsia="仿宋_GB2312"/>
      <w:sz w:val="24"/>
    </w:rPr>
  </w:style>
  <w:style w:type="paragraph" w:customStyle="1" w:styleId="30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07">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8">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09">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0">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1">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3">
    <w:name w:val="font8"/>
    <w:basedOn w:val="1"/>
    <w:qFormat/>
    <w:uiPriority w:val="0"/>
    <w:pPr>
      <w:widowControl/>
      <w:spacing w:before="100" w:beforeAutospacing="1" w:after="100" w:afterAutospacing="1"/>
      <w:jc w:val="left"/>
    </w:pPr>
    <w:rPr>
      <w:sz w:val="36"/>
      <w:szCs w:val="36"/>
    </w:rPr>
  </w:style>
  <w:style w:type="paragraph" w:customStyle="1" w:styleId="314">
    <w:name w:val="Char"/>
    <w:basedOn w:val="1"/>
    <w:qFormat/>
    <w:uiPriority w:val="0"/>
    <w:pPr>
      <w:tabs>
        <w:tab w:val="left" w:pos="360"/>
      </w:tabs>
    </w:pPr>
    <w:rPr>
      <w:sz w:val="24"/>
    </w:rPr>
  </w:style>
  <w:style w:type="paragraph" w:customStyle="1" w:styleId="315">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6">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7">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18">
    <w:name w:val="Char Char1"/>
    <w:basedOn w:val="218"/>
    <w:qFormat/>
    <w:uiPriority w:val="0"/>
    <w:rPr>
      <w:rFonts w:ascii="Tahoma" w:hAnsi="Tahoma"/>
      <w:sz w:val="24"/>
    </w:rPr>
  </w:style>
  <w:style w:type="paragraph" w:customStyle="1" w:styleId="31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1">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2">
    <w:name w:val="样式 宋体 五号 行距: 单倍行距"/>
    <w:basedOn w:val="1"/>
    <w:qFormat/>
    <w:uiPriority w:val="0"/>
    <w:pPr>
      <w:jc w:val="left"/>
    </w:pPr>
    <w:rPr>
      <w:rFonts w:ascii="宋体" w:hAnsi="宋体"/>
      <w:szCs w:val="20"/>
    </w:rPr>
  </w:style>
  <w:style w:type="paragraph" w:customStyle="1" w:styleId="323">
    <w:name w:val="Char1 Char Char Char1"/>
    <w:basedOn w:val="1"/>
    <w:qFormat/>
    <w:uiPriority w:val="0"/>
    <w:rPr>
      <w:rFonts w:ascii="Tahoma" w:hAnsi="Tahoma" w:cs="仿宋_GB2312"/>
      <w:sz w:val="24"/>
      <w:szCs w:val="28"/>
    </w:rPr>
  </w:style>
  <w:style w:type="paragraph" w:customStyle="1" w:styleId="324">
    <w:name w:val="四级条标题"/>
    <w:basedOn w:val="325"/>
    <w:next w:val="1"/>
    <w:qFormat/>
    <w:uiPriority w:val="0"/>
    <w:pPr>
      <w:numPr>
        <w:ilvl w:val="4"/>
      </w:numPr>
      <w:tabs>
        <w:tab w:val="left" w:pos="360"/>
        <w:tab w:val="left" w:pos="840"/>
      </w:tabs>
      <w:ind w:left="0" w:hanging="840"/>
      <w:outlineLvl w:val="4"/>
    </w:pPr>
  </w:style>
  <w:style w:type="paragraph" w:customStyle="1" w:styleId="325">
    <w:name w:val="三级条标题"/>
    <w:basedOn w:val="287"/>
    <w:next w:val="1"/>
    <w:qFormat/>
    <w:uiPriority w:val="0"/>
    <w:pPr>
      <w:numPr>
        <w:ilvl w:val="3"/>
        <w:numId w:val="1"/>
      </w:numPr>
      <w:ind w:left="0" w:hanging="840"/>
      <w:outlineLvl w:val="3"/>
    </w:pPr>
  </w:style>
  <w:style w:type="paragraph" w:customStyle="1" w:styleId="326">
    <w:name w:val="??"/>
    <w:qFormat/>
    <w:uiPriority w:val="0"/>
    <w:pPr>
      <w:widowControl w:val="0"/>
      <w:jc w:val="both"/>
    </w:pPr>
    <w:rPr>
      <w:rFonts w:ascii="Times New Roman" w:hAnsi="Times New Roman" w:eastAsia="宋体" w:cs="Times New Roman"/>
      <w:sz w:val="21"/>
      <w:lang w:val="en-US" w:eastAsia="en-US" w:bidi="ar-SA"/>
    </w:rPr>
  </w:style>
  <w:style w:type="paragraph" w:customStyle="1" w:styleId="327">
    <w:name w:val="样式 标题 2 + 宋体 五号 行距: 单倍行距"/>
    <w:basedOn w:val="196"/>
    <w:qFormat/>
    <w:uiPriority w:val="0"/>
    <w:pPr>
      <w:numPr>
        <w:ilvl w:val="1"/>
        <w:numId w:val="4"/>
      </w:numPr>
      <w:spacing w:before="260" w:after="260" w:line="240" w:lineRule="auto"/>
      <w:jc w:val="left"/>
    </w:pPr>
    <w:rPr>
      <w:rFonts w:ascii="宋体" w:hAnsi="宋体" w:eastAsia="宋体"/>
      <w:bCs/>
      <w:sz w:val="21"/>
    </w:rPr>
  </w:style>
  <w:style w:type="paragraph" w:customStyle="1" w:styleId="328">
    <w:name w:val="List Paragraph1"/>
    <w:basedOn w:val="1"/>
    <w:qFormat/>
    <w:uiPriority w:val="0"/>
    <w:pPr>
      <w:ind w:firstLine="420"/>
    </w:pPr>
    <w:rPr>
      <w:rFonts w:ascii="Calibri" w:hAnsi="Calibri"/>
      <w:szCs w:val="22"/>
    </w:rPr>
  </w:style>
  <w:style w:type="paragraph" w:customStyle="1" w:styleId="329">
    <w:name w:val="项目符号1"/>
    <w:basedOn w:val="330"/>
    <w:qFormat/>
    <w:uiPriority w:val="0"/>
    <w:pPr>
      <w:ind w:left="-25" w:firstLine="0"/>
    </w:pPr>
  </w:style>
  <w:style w:type="paragraph" w:customStyle="1" w:styleId="330">
    <w:name w:val="正文文本样式"/>
    <w:basedOn w:val="1"/>
    <w:qFormat/>
    <w:uiPriority w:val="0"/>
    <w:pPr>
      <w:spacing w:line="360" w:lineRule="auto"/>
      <w:ind w:firstLine="482"/>
    </w:pPr>
    <w:rPr>
      <w:rFonts w:cs="宋体"/>
      <w:sz w:val="24"/>
      <w:szCs w:val="20"/>
    </w:rPr>
  </w:style>
  <w:style w:type="paragraph" w:customStyle="1" w:styleId="331">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2">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3">
    <w:name w:val="五级条标题"/>
    <w:basedOn w:val="324"/>
    <w:next w:val="1"/>
    <w:qFormat/>
    <w:uiPriority w:val="0"/>
    <w:pPr>
      <w:numPr>
        <w:ilvl w:val="5"/>
      </w:numPr>
      <w:ind w:left="0" w:hanging="840"/>
      <w:outlineLvl w:val="5"/>
    </w:pPr>
  </w:style>
  <w:style w:type="paragraph" w:customStyle="1" w:styleId="334">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5">
    <w:name w:val="文档正文"/>
    <w:basedOn w:val="1"/>
    <w:qFormat/>
    <w:uiPriority w:val="0"/>
    <w:pPr>
      <w:spacing w:before="120" w:after="120" w:line="180" w:lineRule="auto"/>
    </w:pPr>
    <w:rPr>
      <w:rFonts w:ascii="Arial" w:hAnsi="Arial"/>
      <w:szCs w:val="20"/>
    </w:rPr>
  </w:style>
  <w:style w:type="paragraph" w:customStyle="1" w:styleId="336">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37">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38">
    <w:name w:val="Char Char Char1 Char"/>
    <w:basedOn w:val="1"/>
    <w:qFormat/>
    <w:uiPriority w:val="0"/>
    <w:rPr>
      <w:rFonts w:ascii="Tahoma" w:hAnsi="Tahoma"/>
      <w:sz w:val="24"/>
      <w:szCs w:val="20"/>
    </w:rPr>
  </w:style>
  <w:style w:type="paragraph" w:customStyle="1" w:styleId="339">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0">
    <w:name w:val="1名"/>
    <w:basedOn w:val="1"/>
    <w:qFormat/>
    <w:uiPriority w:val="0"/>
    <w:pPr>
      <w:numPr>
        <w:ilvl w:val="0"/>
        <w:numId w:val="5"/>
      </w:numPr>
      <w:spacing w:before="120"/>
    </w:pPr>
    <w:rPr>
      <w:rFonts w:ascii="宋体"/>
      <w:sz w:val="28"/>
      <w:szCs w:val="20"/>
    </w:rPr>
  </w:style>
  <w:style w:type="paragraph" w:customStyle="1" w:styleId="341">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2">
    <w:name w:val="Char Char Char1 Char1"/>
    <w:basedOn w:val="1"/>
    <w:qFormat/>
    <w:uiPriority w:val="0"/>
    <w:rPr>
      <w:rFonts w:ascii="Tahoma" w:hAnsi="Tahoma"/>
      <w:sz w:val="24"/>
      <w:szCs w:val="20"/>
    </w:rPr>
  </w:style>
  <w:style w:type="paragraph" w:customStyle="1" w:styleId="343">
    <w:name w:val="Char Char Char Char Char Char Char Char Char Char"/>
    <w:basedOn w:val="1"/>
    <w:qFormat/>
    <w:uiPriority w:val="0"/>
  </w:style>
  <w:style w:type="paragraph" w:customStyle="1" w:styleId="344">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5">
    <w:name w:val="Char1"/>
    <w:basedOn w:val="1"/>
    <w:qFormat/>
    <w:uiPriority w:val="0"/>
    <w:pPr>
      <w:tabs>
        <w:tab w:val="left" w:pos="360"/>
      </w:tabs>
    </w:pPr>
    <w:rPr>
      <w:sz w:val="24"/>
    </w:rPr>
  </w:style>
  <w:style w:type="paragraph" w:customStyle="1" w:styleId="346">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4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48">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9">
    <w:name w:val="默认段落字体 Para Char Char Char Char"/>
    <w:basedOn w:val="1"/>
    <w:qFormat/>
    <w:uiPriority w:val="0"/>
    <w:rPr>
      <w:rFonts w:ascii="Arial" w:hAnsi="Arial" w:cs="Arial"/>
      <w:szCs w:val="21"/>
    </w:rPr>
  </w:style>
  <w:style w:type="paragraph" w:customStyle="1" w:styleId="350">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2">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3">
    <w:name w:val="Char Char Char"/>
    <w:basedOn w:val="1"/>
    <w:qFormat/>
    <w:uiPriority w:val="0"/>
    <w:rPr>
      <w:rFonts w:ascii="Tahoma" w:hAnsi="Tahoma"/>
      <w:sz w:val="24"/>
      <w:szCs w:val="20"/>
    </w:rPr>
  </w:style>
  <w:style w:type="paragraph" w:customStyle="1" w:styleId="354">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5">
    <w:name w:val="缺省文本"/>
    <w:basedOn w:val="1"/>
    <w:qFormat/>
    <w:uiPriority w:val="0"/>
    <w:pPr>
      <w:jc w:val="left"/>
    </w:pPr>
    <w:rPr>
      <w:sz w:val="24"/>
    </w:rPr>
  </w:style>
  <w:style w:type="paragraph" w:customStyle="1" w:styleId="356">
    <w:name w:val="Char Char Char1"/>
    <w:basedOn w:val="1"/>
    <w:qFormat/>
    <w:uiPriority w:val="0"/>
    <w:rPr>
      <w:rFonts w:ascii="Tahoma" w:hAnsi="Tahoma"/>
      <w:sz w:val="24"/>
      <w:szCs w:val="20"/>
    </w:rPr>
  </w:style>
  <w:style w:type="paragraph" w:customStyle="1" w:styleId="357">
    <w:name w:val="Char Char Char Char Char Char Char1"/>
    <w:basedOn w:val="1"/>
    <w:qFormat/>
    <w:uiPriority w:val="0"/>
    <w:pPr>
      <w:spacing w:line="360" w:lineRule="auto"/>
      <w:ind w:firstLine="200"/>
    </w:pPr>
    <w:rPr>
      <w:rFonts w:eastAsia="仿宋_GB2312"/>
      <w:sz w:val="24"/>
    </w:rPr>
  </w:style>
  <w:style w:type="paragraph" w:customStyle="1" w:styleId="358">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59">
    <w:name w:val="样式2"/>
    <w:basedOn w:val="248"/>
    <w:qFormat/>
    <w:uiPriority w:val="0"/>
    <w:pPr>
      <w:spacing w:line="360" w:lineRule="auto"/>
      <w:jc w:val="center"/>
    </w:pPr>
    <w:rPr>
      <w:sz w:val="24"/>
    </w:rPr>
  </w:style>
  <w:style w:type="paragraph" w:customStyle="1" w:styleId="360">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1">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2">
    <w:name w:val="正文 + 楷体_GB2312"/>
    <w:basedOn w:val="1"/>
    <w:qFormat/>
    <w:uiPriority w:val="0"/>
    <w:pPr>
      <w:widowControl/>
      <w:jc w:val="left"/>
    </w:pPr>
    <w:rPr>
      <w:rFonts w:ascii="楷体_GB2312" w:eastAsia="楷体_GB2312" w:cs="Arial"/>
      <w:sz w:val="24"/>
    </w:rPr>
  </w:style>
  <w:style w:type="paragraph" w:customStyle="1" w:styleId="36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4">
    <w:name w:val="1 Char Char Char Char"/>
    <w:basedOn w:val="1"/>
    <w:qFormat/>
    <w:uiPriority w:val="0"/>
    <w:rPr>
      <w:rFonts w:ascii="Tahoma" w:hAnsi="Tahoma"/>
      <w:sz w:val="24"/>
      <w:szCs w:val="20"/>
    </w:rPr>
  </w:style>
  <w:style w:type="paragraph" w:customStyle="1" w:styleId="365">
    <w:name w:val="列出段落1"/>
    <w:basedOn w:val="1"/>
    <w:qFormat/>
    <w:uiPriority w:val="0"/>
    <w:pPr>
      <w:ind w:firstLine="420"/>
    </w:pPr>
    <w:rPr>
      <w:rFonts w:ascii="Calibri" w:hAnsi="Calibri"/>
      <w:szCs w:val="22"/>
    </w:rPr>
  </w:style>
  <w:style w:type="paragraph" w:customStyle="1" w:styleId="366">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67">
    <w:name w:val="字元 字元1"/>
    <w:basedOn w:val="1"/>
    <w:qFormat/>
    <w:uiPriority w:val="0"/>
    <w:rPr>
      <w:rFonts w:ascii="Tahoma" w:hAnsi="Tahoma"/>
      <w:sz w:val="24"/>
      <w:szCs w:val="20"/>
    </w:rPr>
  </w:style>
  <w:style w:type="paragraph" w:customStyle="1" w:styleId="368">
    <w:name w:val="_Style 160"/>
    <w:qFormat/>
    <w:uiPriority w:val="0"/>
    <w:rPr>
      <w:rFonts w:ascii="Times New Roman" w:hAnsi="Times New Roman" w:eastAsia="宋体" w:cs="Times New Roman"/>
      <w:sz w:val="21"/>
      <w:szCs w:val="24"/>
      <w:lang w:val="en-US" w:eastAsia="zh-CN" w:bidi="ar-SA"/>
    </w:rPr>
  </w:style>
  <w:style w:type="paragraph" w:customStyle="1" w:styleId="369">
    <w:name w:val="项目编号3"/>
    <w:basedOn w:val="330"/>
    <w:qFormat/>
    <w:uiPriority w:val="0"/>
    <w:pPr>
      <w:numPr>
        <w:ilvl w:val="0"/>
        <w:numId w:val="6"/>
      </w:numPr>
    </w:pPr>
  </w:style>
  <w:style w:type="paragraph" w:customStyle="1" w:styleId="370">
    <w:name w:val="Char21"/>
    <w:basedOn w:val="1"/>
    <w:qFormat/>
    <w:uiPriority w:val="0"/>
    <w:rPr>
      <w:rFonts w:ascii="Tahoma" w:hAnsi="Tahoma"/>
      <w:sz w:val="24"/>
      <w:szCs w:val="20"/>
    </w:rPr>
  </w:style>
  <w:style w:type="paragraph" w:customStyle="1" w:styleId="371">
    <w:name w:val="Char Char Char Char Char Char Char Char Char Char1"/>
    <w:basedOn w:val="1"/>
    <w:qFormat/>
    <w:uiPriority w:val="0"/>
    <w:rPr>
      <w:rFonts w:ascii="宋体" w:hAnsi="宋体" w:cs="Courier New"/>
      <w:sz w:val="32"/>
      <w:szCs w:val="32"/>
    </w:rPr>
  </w:style>
  <w:style w:type="paragraph" w:customStyle="1" w:styleId="372">
    <w:name w:val="正文文本样式 加粗"/>
    <w:basedOn w:val="330"/>
    <w:qFormat/>
    <w:uiPriority w:val="0"/>
    <w:rPr>
      <w:b/>
    </w:rPr>
  </w:style>
  <w:style w:type="paragraph" w:customStyle="1" w:styleId="373">
    <w:name w:val="Char2 Char Char Char Char Char Char"/>
    <w:basedOn w:val="1"/>
    <w:qFormat/>
    <w:uiPriority w:val="0"/>
    <w:pPr>
      <w:widowControl/>
      <w:spacing w:line="400" w:lineRule="exact"/>
      <w:jc w:val="center"/>
    </w:pPr>
  </w:style>
  <w:style w:type="paragraph" w:customStyle="1" w:styleId="374">
    <w:name w:val="Char Char4"/>
    <w:basedOn w:val="1"/>
    <w:qFormat/>
    <w:uiPriority w:val="0"/>
    <w:pPr>
      <w:widowControl/>
      <w:spacing w:line="400" w:lineRule="exact"/>
      <w:jc w:val="center"/>
    </w:pPr>
  </w:style>
  <w:style w:type="paragraph" w:customStyle="1" w:styleId="375">
    <w:name w:val="Char3 Char Char Char1"/>
    <w:basedOn w:val="1"/>
    <w:qFormat/>
    <w:uiPriority w:val="0"/>
    <w:rPr>
      <w:rFonts w:ascii="Tahoma" w:hAnsi="Tahoma"/>
      <w:sz w:val="24"/>
      <w:szCs w:val="20"/>
    </w:rPr>
  </w:style>
  <w:style w:type="paragraph" w:customStyle="1" w:styleId="376">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77">
    <w:name w:val="22222222222222"/>
    <w:basedOn w:val="1"/>
    <w:qFormat/>
    <w:uiPriority w:val="0"/>
    <w:pPr>
      <w:widowControl/>
      <w:spacing w:line="360" w:lineRule="auto"/>
      <w:ind w:firstLine="480"/>
      <w:jc w:val="left"/>
    </w:pPr>
    <w:rPr>
      <w:color w:val="FF0000"/>
      <w:sz w:val="24"/>
      <w:szCs w:val="20"/>
    </w:rPr>
  </w:style>
  <w:style w:type="character" w:customStyle="1" w:styleId="378">
    <w:name w:val="中等深浅网格 1 - 强调文字颜色 2 Char"/>
    <w:link w:val="379"/>
    <w:qFormat/>
    <w:uiPriority w:val="0"/>
    <w:rPr>
      <w:sz w:val="21"/>
      <w:szCs w:val="24"/>
      <w:lang w:val="zh-CN" w:eastAsia="zh-CN" w:bidi="ar-SA"/>
    </w:rPr>
  </w:style>
  <w:style w:type="paragraph" w:customStyle="1" w:styleId="379">
    <w:name w:val="1"/>
    <w:link w:val="378"/>
    <w:qFormat/>
    <w:uiPriority w:val="0"/>
    <w:rPr>
      <w:rFonts w:ascii="Times New Roman" w:hAnsi="Times New Roman" w:eastAsia="宋体" w:cs="Times New Roman"/>
      <w:sz w:val="21"/>
      <w:szCs w:val="24"/>
      <w:lang w:val="zh-CN" w:eastAsia="zh-CN" w:bidi="ar-SA"/>
    </w:rPr>
  </w:style>
  <w:style w:type="paragraph" w:customStyle="1" w:styleId="380">
    <w:name w:val="图文"/>
    <w:basedOn w:val="1"/>
    <w:qFormat/>
    <w:uiPriority w:val="0"/>
    <w:pPr>
      <w:spacing w:after="50" w:line="360" w:lineRule="auto"/>
    </w:pPr>
    <w:rPr>
      <w:sz w:val="24"/>
    </w:rPr>
  </w:style>
  <w:style w:type="paragraph" w:customStyle="1" w:styleId="381">
    <w:name w:val="xl23"/>
    <w:basedOn w:val="1"/>
    <w:qFormat/>
    <w:uiPriority w:val="0"/>
    <w:pPr>
      <w:widowControl/>
      <w:spacing w:before="100" w:beforeAutospacing="1" w:after="100" w:afterAutospacing="1" w:line="360" w:lineRule="auto"/>
    </w:pPr>
    <w:rPr>
      <w:sz w:val="24"/>
      <w:szCs w:val="20"/>
    </w:rPr>
  </w:style>
  <w:style w:type="paragraph" w:customStyle="1" w:styleId="382">
    <w:name w:val="正文表格"/>
    <w:basedOn w:val="1"/>
    <w:link w:val="383"/>
    <w:qFormat/>
    <w:uiPriority w:val="0"/>
    <w:pPr>
      <w:jc w:val="left"/>
    </w:pPr>
    <w:rPr>
      <w:rFonts w:ascii="宋体" w:hAnsi="宋体"/>
      <w:color w:val="000000"/>
      <w:szCs w:val="21"/>
    </w:rPr>
  </w:style>
  <w:style w:type="character" w:customStyle="1" w:styleId="383">
    <w:name w:val="正文表格 Char"/>
    <w:link w:val="382"/>
    <w:qFormat/>
    <w:uiPriority w:val="0"/>
    <w:rPr>
      <w:rFonts w:ascii="宋体" w:hAnsi="宋体"/>
      <w:color w:val="000000"/>
      <w:sz w:val="21"/>
      <w:szCs w:val="21"/>
    </w:rPr>
  </w:style>
  <w:style w:type="paragraph" w:customStyle="1" w:styleId="384">
    <w:name w:val="正文重点"/>
    <w:basedOn w:val="1"/>
    <w:link w:val="385"/>
    <w:qFormat/>
    <w:uiPriority w:val="0"/>
    <w:pPr>
      <w:spacing w:line="360" w:lineRule="auto"/>
      <w:ind w:firstLine="482"/>
      <w:jc w:val="left"/>
    </w:pPr>
    <w:rPr>
      <w:b/>
      <w:sz w:val="24"/>
      <w:szCs w:val="20"/>
    </w:rPr>
  </w:style>
  <w:style w:type="character" w:customStyle="1" w:styleId="385">
    <w:name w:val="正文重点 Char"/>
    <w:link w:val="384"/>
    <w:qFormat/>
    <w:uiPriority w:val="0"/>
    <w:rPr>
      <w:b/>
      <w:sz w:val="24"/>
    </w:rPr>
  </w:style>
  <w:style w:type="paragraph" w:customStyle="1" w:styleId="386">
    <w:name w:val="标题1-附件"/>
    <w:basedOn w:val="195"/>
    <w:qFormat/>
    <w:uiPriority w:val="0"/>
    <w:pPr>
      <w:jc w:val="left"/>
    </w:pPr>
    <w:rPr>
      <w:sz w:val="24"/>
      <w:szCs w:val="24"/>
    </w:rPr>
  </w:style>
  <w:style w:type="paragraph" w:customStyle="1" w:styleId="387">
    <w:name w:val="正文小标题"/>
    <w:basedOn w:val="1"/>
    <w:next w:val="197"/>
    <w:link w:val="388"/>
    <w:qFormat/>
    <w:uiPriority w:val="0"/>
    <w:pPr>
      <w:spacing w:before="312" w:after="312"/>
      <w:ind w:firstLine="482"/>
      <w:jc w:val="left"/>
    </w:pPr>
    <w:rPr>
      <w:rFonts w:ascii="宋体" w:hAnsi="宋体"/>
      <w:b/>
      <w:i/>
      <w:color w:val="FF0000"/>
      <w:sz w:val="24"/>
      <w:szCs w:val="20"/>
    </w:rPr>
  </w:style>
  <w:style w:type="character" w:customStyle="1" w:styleId="388">
    <w:name w:val="正文小标题 Char"/>
    <w:link w:val="387"/>
    <w:qFormat/>
    <w:uiPriority w:val="0"/>
    <w:rPr>
      <w:rFonts w:ascii="宋体" w:hAnsi="宋体"/>
      <w:b/>
      <w:i/>
      <w:color w:val="FF0000"/>
      <w:sz w:val="24"/>
    </w:rPr>
  </w:style>
  <w:style w:type="paragraph" w:customStyle="1" w:styleId="389">
    <w:name w:val="正文大标题"/>
    <w:basedOn w:val="387"/>
    <w:next w:val="197"/>
    <w:link w:val="390"/>
    <w:qFormat/>
    <w:uiPriority w:val="0"/>
    <w:pPr>
      <w:jc w:val="center"/>
    </w:pPr>
    <w:rPr>
      <w:i w:val="0"/>
      <w:color w:val="000000"/>
      <w:sz w:val="28"/>
      <w:szCs w:val="21"/>
    </w:rPr>
  </w:style>
  <w:style w:type="character" w:customStyle="1" w:styleId="390">
    <w:name w:val="正文大标题 Char"/>
    <w:link w:val="389"/>
    <w:qFormat/>
    <w:uiPriority w:val="0"/>
    <w:rPr>
      <w:rFonts w:ascii="宋体" w:hAnsi="宋体"/>
      <w:b/>
      <w:color w:val="000000"/>
      <w:sz w:val="28"/>
      <w:szCs w:val="21"/>
    </w:rPr>
  </w:style>
  <w:style w:type="paragraph" w:customStyle="1" w:styleId="391">
    <w:name w:val="注释"/>
    <w:basedOn w:val="1"/>
    <w:link w:val="392"/>
    <w:qFormat/>
    <w:uiPriority w:val="0"/>
    <w:pPr>
      <w:ind w:left="420" w:hanging="420"/>
      <w:jc w:val="left"/>
    </w:pPr>
    <w:rPr>
      <w:rFonts w:ascii="宋体" w:hAnsi="宋体"/>
      <w:szCs w:val="21"/>
    </w:rPr>
  </w:style>
  <w:style w:type="character" w:customStyle="1" w:styleId="392">
    <w:name w:val="注释 Char"/>
    <w:link w:val="391"/>
    <w:qFormat/>
    <w:uiPriority w:val="0"/>
    <w:rPr>
      <w:rFonts w:ascii="宋体" w:hAnsi="宋体"/>
      <w:sz w:val="21"/>
      <w:szCs w:val="21"/>
    </w:rPr>
  </w:style>
  <w:style w:type="paragraph" w:customStyle="1" w:styleId="393">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4">
    <w:name w:val="正文须知-2级"/>
    <w:basedOn w:val="1"/>
    <w:qFormat/>
    <w:uiPriority w:val="0"/>
    <w:pPr>
      <w:numPr>
        <w:ilvl w:val="1"/>
        <w:numId w:val="7"/>
      </w:numPr>
      <w:spacing w:line="300" w:lineRule="auto"/>
    </w:pPr>
    <w:rPr>
      <w:rFonts w:ascii="宋体" w:hAnsi="Calibri"/>
      <w:sz w:val="24"/>
      <w:szCs w:val="21"/>
    </w:rPr>
  </w:style>
  <w:style w:type="paragraph" w:customStyle="1" w:styleId="395">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96">
    <w:name w:val="纯文本 字符"/>
    <w:qFormat/>
    <w:uiPriority w:val="99"/>
    <w:rPr>
      <w:rFonts w:ascii="宋体" w:hAnsi="Courier New" w:eastAsia="宋体" w:cs="Times New Roman"/>
      <w:sz w:val="21"/>
      <w:szCs w:val="21"/>
      <w:lang w:val="en-US" w:eastAsia="zh-CN" w:bidi="ar-SA"/>
    </w:rPr>
  </w:style>
  <w:style w:type="paragraph" w:customStyle="1" w:styleId="397">
    <w:name w:val="表格1"/>
    <w:basedOn w:val="1"/>
    <w:qFormat/>
    <w:uiPriority w:val="0"/>
    <w:pPr>
      <w:ind w:firstLine="480"/>
      <w:jc w:val="center"/>
    </w:pPr>
    <w:rPr>
      <w:sz w:val="24"/>
      <w:szCs w:val="20"/>
    </w:rPr>
  </w:style>
  <w:style w:type="character" w:customStyle="1" w:styleId="398">
    <w:name w:val="纯文本 字符1"/>
    <w:qFormat/>
    <w:uiPriority w:val="0"/>
    <w:rPr>
      <w:rFonts w:ascii="宋体" w:hAnsi="Courier New"/>
    </w:rPr>
  </w:style>
  <w:style w:type="character" w:customStyle="1" w:styleId="399">
    <w:name w:val="bjh-p"/>
    <w:qFormat/>
    <w:uiPriority w:val="0"/>
  </w:style>
  <w:style w:type="paragraph" w:customStyle="1" w:styleId="40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401">
    <w:name w:val="正文格式 Char"/>
    <w:link w:val="402"/>
    <w:qFormat/>
    <w:uiPriority w:val="0"/>
    <w:rPr>
      <w:rFonts w:ascii="宋体" w:hAnsi="宋体"/>
      <w:sz w:val="24"/>
      <w:szCs w:val="24"/>
      <w:lang w:val="en-GB"/>
    </w:rPr>
  </w:style>
  <w:style w:type="paragraph" w:customStyle="1" w:styleId="402">
    <w:name w:val="正文格式"/>
    <w:basedOn w:val="1"/>
    <w:link w:val="401"/>
    <w:qFormat/>
    <w:uiPriority w:val="0"/>
    <w:pPr>
      <w:spacing w:line="360" w:lineRule="auto"/>
      <w:ind w:firstLine="480"/>
    </w:pPr>
    <w:rPr>
      <w:rFonts w:ascii="宋体" w:hAnsi="宋体"/>
      <w:sz w:val="24"/>
      <w:lang w:val="en-GB"/>
    </w:rPr>
  </w:style>
  <w:style w:type="character" w:customStyle="1" w:styleId="403">
    <w:name w:val="标题 3 Char"/>
    <w:qFormat/>
    <w:uiPriority w:val="0"/>
    <w:rPr>
      <w:rFonts w:ascii="宋体" w:eastAsia="宋体"/>
      <w:b/>
      <w:sz w:val="24"/>
      <w:u w:val="single"/>
      <w:lang w:val="en-US" w:eastAsia="zh-CN" w:bidi="ar-SA"/>
    </w:rPr>
  </w:style>
  <w:style w:type="character" w:customStyle="1" w:styleId="404">
    <w:name w:val="正文缩进 Char"/>
    <w:qFormat/>
    <w:uiPriority w:val="0"/>
    <w:rPr>
      <w:rFonts w:ascii="宋体" w:eastAsia="宋体"/>
      <w:sz w:val="24"/>
      <w:szCs w:val="24"/>
      <w:lang w:val="en-US" w:eastAsia="zh-CN" w:bidi="ar-SA"/>
    </w:rPr>
  </w:style>
  <w:style w:type="character" w:customStyle="1" w:styleId="405">
    <w:name w:val="Char Char111"/>
    <w:qFormat/>
    <w:uiPriority w:val="0"/>
    <w:rPr>
      <w:rFonts w:ascii="宋体" w:eastAsia="宋体"/>
      <w:b/>
      <w:sz w:val="24"/>
      <w:u w:val="single"/>
      <w:lang w:val="en-US" w:eastAsia="zh-CN" w:bidi="ar-SA"/>
    </w:rPr>
  </w:style>
  <w:style w:type="character" w:customStyle="1" w:styleId="406">
    <w:name w:val="正文文本缩进 Char"/>
    <w:qFormat/>
    <w:uiPriority w:val="0"/>
    <w:rPr>
      <w:rFonts w:eastAsia="宋体"/>
      <w:sz w:val="24"/>
      <w:szCs w:val="24"/>
      <w:lang w:val="en-US" w:eastAsia="zh-CN" w:bidi="ar-SA"/>
    </w:rPr>
  </w:style>
  <w:style w:type="character" w:customStyle="1" w:styleId="407">
    <w:name w:val="列出段落 Char"/>
    <w:qFormat/>
    <w:uiPriority w:val="0"/>
    <w:rPr>
      <w:rFonts w:ascii="Calibri" w:hAnsi="Calibri" w:eastAsia="宋体"/>
      <w:sz w:val="21"/>
      <w:szCs w:val="22"/>
      <w:lang w:val="en-US" w:eastAsia="zh-CN" w:bidi="ar-SA"/>
    </w:rPr>
  </w:style>
  <w:style w:type="character" w:customStyle="1" w:styleId="408">
    <w:name w:val="页眉 Char"/>
    <w:qFormat/>
    <w:uiPriority w:val="0"/>
    <w:rPr>
      <w:rFonts w:eastAsia="宋体"/>
      <w:sz w:val="18"/>
      <w:szCs w:val="18"/>
      <w:lang w:val="en-US" w:eastAsia="zh-CN" w:bidi="ar-SA"/>
    </w:rPr>
  </w:style>
  <w:style w:type="character" w:customStyle="1" w:styleId="409">
    <w:name w:val="标题 2 Char"/>
    <w:qFormat/>
    <w:uiPriority w:val="0"/>
    <w:rPr>
      <w:rFonts w:ascii="Arial" w:hAnsi="Arial" w:eastAsia="黑体"/>
      <w:b/>
      <w:sz w:val="30"/>
      <w:lang w:val="en-US" w:eastAsia="zh-CN" w:bidi="ar-SA"/>
    </w:rPr>
  </w:style>
  <w:style w:type="paragraph" w:customStyle="1" w:styleId="410">
    <w:name w:val="字元 字元2"/>
    <w:basedOn w:val="1"/>
    <w:qFormat/>
    <w:uiPriority w:val="0"/>
    <w:rPr>
      <w:rFonts w:ascii="Tahoma" w:hAnsi="Tahoma"/>
      <w:sz w:val="24"/>
      <w:szCs w:val="20"/>
    </w:rPr>
  </w:style>
  <w:style w:type="paragraph" w:customStyle="1" w:styleId="411">
    <w:name w:val="Char3 Char Char Char2"/>
    <w:basedOn w:val="1"/>
    <w:qFormat/>
    <w:uiPriority w:val="0"/>
    <w:rPr>
      <w:rFonts w:ascii="Tahoma" w:hAnsi="Tahoma"/>
      <w:sz w:val="24"/>
      <w:szCs w:val="20"/>
    </w:rPr>
  </w:style>
  <w:style w:type="paragraph" w:customStyle="1" w:styleId="412">
    <w:name w:val="正文文本缩进2"/>
    <w:basedOn w:val="1"/>
    <w:qFormat/>
    <w:uiPriority w:val="0"/>
    <w:pPr>
      <w:spacing w:line="480" w:lineRule="exact"/>
      <w:ind w:firstLine="480"/>
    </w:pPr>
    <w:rPr>
      <w:rFonts w:ascii="宋体" w:hAnsi="宋体"/>
      <w:sz w:val="24"/>
      <w:lang w:val="zh-CN"/>
    </w:rPr>
  </w:style>
  <w:style w:type="paragraph" w:customStyle="1" w:styleId="413">
    <w:name w:val="Char3"/>
    <w:basedOn w:val="1"/>
    <w:qFormat/>
    <w:uiPriority w:val="0"/>
    <w:pPr>
      <w:tabs>
        <w:tab w:val="left" w:pos="360"/>
      </w:tabs>
    </w:pPr>
    <w:rPr>
      <w:sz w:val="24"/>
    </w:rPr>
  </w:style>
  <w:style w:type="paragraph" w:customStyle="1" w:styleId="414">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5">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16">
    <w:name w:val="列出段落2"/>
    <w:basedOn w:val="1"/>
    <w:qFormat/>
    <w:uiPriority w:val="0"/>
    <w:pPr>
      <w:ind w:firstLine="420"/>
    </w:pPr>
    <w:rPr>
      <w:rFonts w:ascii="Calibri" w:hAnsi="Calibri"/>
      <w:szCs w:val="22"/>
    </w:rPr>
  </w:style>
  <w:style w:type="paragraph" w:customStyle="1" w:styleId="417">
    <w:name w:val="Char Char Char1 Char2"/>
    <w:basedOn w:val="1"/>
    <w:qFormat/>
    <w:uiPriority w:val="0"/>
    <w:rPr>
      <w:rFonts w:ascii="Tahoma" w:hAnsi="Tahoma"/>
      <w:sz w:val="24"/>
      <w:szCs w:val="20"/>
    </w:rPr>
  </w:style>
  <w:style w:type="paragraph" w:customStyle="1" w:styleId="418">
    <w:name w:val="Char Char Char2"/>
    <w:basedOn w:val="1"/>
    <w:qFormat/>
    <w:uiPriority w:val="0"/>
    <w:rPr>
      <w:rFonts w:ascii="Tahoma" w:hAnsi="Tahoma"/>
      <w:sz w:val="24"/>
      <w:szCs w:val="20"/>
    </w:rPr>
  </w:style>
  <w:style w:type="paragraph" w:customStyle="1" w:styleId="419">
    <w:name w:val="Char Char Char Char Char Char Char2"/>
    <w:basedOn w:val="1"/>
    <w:qFormat/>
    <w:uiPriority w:val="0"/>
    <w:pPr>
      <w:spacing w:line="360" w:lineRule="auto"/>
      <w:ind w:firstLine="200"/>
    </w:pPr>
    <w:rPr>
      <w:rFonts w:eastAsia="仿宋_GB2312"/>
      <w:sz w:val="24"/>
    </w:rPr>
  </w:style>
  <w:style w:type="paragraph" w:customStyle="1" w:styleId="420">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421">
    <w:name w:val="修订1"/>
    <w:qFormat/>
    <w:uiPriority w:val="0"/>
    <w:rPr>
      <w:rFonts w:ascii="Times New Roman" w:hAnsi="Times New Roman" w:eastAsia="宋体" w:cs="Times New Roman"/>
      <w:sz w:val="21"/>
      <w:szCs w:val="24"/>
      <w:lang w:val="en-US" w:eastAsia="zh-CN" w:bidi="ar-SA"/>
    </w:rPr>
  </w:style>
  <w:style w:type="paragraph" w:customStyle="1" w:styleId="422">
    <w:name w:val="Char22"/>
    <w:basedOn w:val="1"/>
    <w:qFormat/>
    <w:uiPriority w:val="0"/>
    <w:rPr>
      <w:rFonts w:ascii="Tahoma" w:hAnsi="Tahoma"/>
      <w:sz w:val="24"/>
      <w:szCs w:val="20"/>
    </w:rPr>
  </w:style>
  <w:style w:type="paragraph" w:customStyle="1" w:styleId="423">
    <w:name w:val="Char Char Char Char Char Char Char Char Char Char2"/>
    <w:basedOn w:val="1"/>
    <w:qFormat/>
    <w:uiPriority w:val="0"/>
    <w:rPr>
      <w:rFonts w:ascii="宋体" w:hAnsi="宋体" w:cs="Courier New"/>
      <w:sz w:val="32"/>
      <w:szCs w:val="32"/>
    </w:rPr>
  </w:style>
  <w:style w:type="paragraph" w:customStyle="1" w:styleId="424">
    <w:name w:val="Char2 Char Char Char Char Char Char1"/>
    <w:basedOn w:val="1"/>
    <w:qFormat/>
    <w:uiPriority w:val="0"/>
    <w:pPr>
      <w:widowControl/>
      <w:spacing w:line="400" w:lineRule="exact"/>
      <w:jc w:val="center"/>
    </w:pPr>
  </w:style>
  <w:style w:type="character" w:customStyle="1" w:styleId="425">
    <w:name w:val="页脚 Char"/>
    <w:qFormat/>
    <w:uiPriority w:val="0"/>
    <w:rPr>
      <w:rFonts w:ascii="宋体" w:eastAsia="宋体"/>
      <w:sz w:val="18"/>
      <w:lang w:val="en-US" w:eastAsia="zh-CN" w:bidi="ar-SA"/>
    </w:rPr>
  </w:style>
  <w:style w:type="paragraph" w:customStyle="1" w:styleId="426">
    <w:name w:val="Char Char41"/>
    <w:basedOn w:val="1"/>
    <w:qFormat/>
    <w:uiPriority w:val="0"/>
    <w:pPr>
      <w:widowControl/>
      <w:spacing w:line="400" w:lineRule="exact"/>
      <w:jc w:val="center"/>
    </w:pPr>
  </w:style>
  <w:style w:type="character" w:customStyle="1" w:styleId="427">
    <w:name w:val="批注文字 Char"/>
    <w:qFormat/>
    <w:uiPriority w:val="99"/>
    <w:rPr>
      <w:sz w:val="21"/>
      <w:szCs w:val="24"/>
    </w:rPr>
  </w:style>
  <w:style w:type="character" w:customStyle="1" w:styleId="428">
    <w:name w:val="标题 Char"/>
    <w:qFormat/>
    <w:uiPriority w:val="0"/>
    <w:rPr>
      <w:b/>
      <w:sz w:val="32"/>
    </w:rPr>
  </w:style>
  <w:style w:type="paragraph" w:customStyle="1" w:styleId="429">
    <w:name w:val="图例"/>
    <w:basedOn w:val="1"/>
    <w:qFormat/>
    <w:uiPriority w:val="0"/>
    <w:pPr>
      <w:spacing w:before="120" w:after="120" w:line="360" w:lineRule="auto"/>
      <w:jc w:val="center"/>
    </w:pPr>
    <w:rPr>
      <w:rFonts w:eastAsia="仿宋_GB2312"/>
      <w:b/>
      <w:sz w:val="24"/>
      <w:szCs w:val="20"/>
    </w:rPr>
  </w:style>
  <w:style w:type="paragraph" w:customStyle="1" w:styleId="430">
    <w:name w:val="Table Paragraph"/>
    <w:basedOn w:val="1"/>
    <w:qFormat/>
    <w:uiPriority w:val="1"/>
    <w:pPr>
      <w:jc w:val="left"/>
    </w:pPr>
    <w:rPr>
      <w:rFonts w:ascii="宋体" w:hAnsi="宋体" w:cs="宋体"/>
      <w:sz w:val="22"/>
      <w:szCs w:val="22"/>
      <w:lang w:eastAsia="en-US"/>
    </w:rPr>
  </w:style>
  <w:style w:type="table" w:customStyle="1" w:styleId="431">
    <w:name w:val="Table Normal"/>
    <w:semiHidden/>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32">
    <w:name w:val="成文日期"/>
    <w:basedOn w:val="1"/>
    <w:link w:val="433"/>
    <w:qFormat/>
    <w:uiPriority w:val="0"/>
    <w:pPr>
      <w:spacing w:line="570" w:lineRule="exact"/>
      <w:ind w:right="400" w:firstLine="200"/>
      <w:jc w:val="right"/>
    </w:pPr>
    <w:rPr>
      <w:rFonts w:ascii="仿宋_GB2312" w:eastAsia="仿宋_GB2312"/>
      <w:sz w:val="32"/>
      <w:szCs w:val="20"/>
    </w:rPr>
  </w:style>
  <w:style w:type="character" w:customStyle="1" w:styleId="433">
    <w:name w:val="成文日期 Char"/>
    <w:link w:val="432"/>
    <w:qFormat/>
    <w:uiPriority w:val="0"/>
    <w:rPr>
      <w:rFonts w:ascii="仿宋_GB2312" w:eastAsia="仿宋_GB2312"/>
      <w:sz w:val="32"/>
    </w:rPr>
  </w:style>
  <w:style w:type="paragraph" w:customStyle="1" w:styleId="434">
    <w:name w:val="_Style 15"/>
    <w:basedOn w:val="1"/>
    <w:next w:val="1"/>
    <w:qFormat/>
    <w:uiPriority w:val="0"/>
    <w:pPr>
      <w:spacing w:after="120"/>
      <w:ind w:left="420" w:firstLine="420"/>
    </w:pPr>
    <w:rPr>
      <w:szCs w:val="22"/>
    </w:rPr>
  </w:style>
  <w:style w:type="paragraph" w:customStyle="1" w:styleId="435">
    <w:name w:val="修订2"/>
    <w:unhideWhenUsed/>
    <w:qFormat/>
    <w:uiPriority w:val="99"/>
    <w:rPr>
      <w:rFonts w:ascii="Times New Roman" w:hAnsi="Times New Roman" w:eastAsia="宋体" w:cs="Times New Roman"/>
      <w:sz w:val="21"/>
      <w:szCs w:val="24"/>
      <w:lang w:val="en-US" w:eastAsia="zh-CN" w:bidi="ar-SA"/>
    </w:rPr>
  </w:style>
  <w:style w:type="character" w:customStyle="1" w:styleId="436">
    <w:name w:val="标题 2 Char1"/>
    <w:qFormat/>
    <w:uiPriority w:val="0"/>
    <w:rPr>
      <w:rFonts w:ascii="Arial" w:hAnsi="Arial" w:eastAsia="黑体"/>
      <w:b/>
      <w:sz w:val="30"/>
      <w:lang w:val="en-US" w:eastAsia="zh-CN" w:bidi="ar-SA"/>
    </w:rPr>
  </w:style>
  <w:style w:type="paragraph" w:customStyle="1" w:styleId="437">
    <w:name w:val="Table Text"/>
    <w:basedOn w:val="1"/>
    <w:semiHidden/>
    <w:qFormat/>
    <w:uiPriority w:val="0"/>
    <w:rPr>
      <w:rFonts w:ascii="宋体" w:hAnsi="宋体" w:cs="宋体"/>
      <w:sz w:val="24"/>
      <w:lang w:eastAsia="en-US"/>
    </w:rPr>
  </w:style>
  <w:style w:type="paragraph" w:customStyle="1" w:styleId="438">
    <w:name w:val="Normal_19"/>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header" Target="header6.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66</Pages>
  <Words>3080</Words>
  <Characters>3542</Characters>
  <Lines>231</Lines>
  <Paragraphs>65</Paragraphs>
  <TotalTime>3</TotalTime>
  <ScaleCrop>false</ScaleCrop>
  <LinksUpToDate>false</LinksUpToDate>
  <CharactersWithSpaces>3662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2024-11-28T17:22:00Z</dcterms:created>
  <dc:creator>Yin Hao</dc:creator>
  <cp:lastModifiedBy>盈泰招标</cp:lastModifiedBy>
  <cp:lastPrinted>2025-12-04T09:48:00Z</cp:lastPrinted>
  <dcterms:modified xsi:type="dcterms:W3CDTF">2025-12-15T02:33:14Z</dcterms:modified>
  <dc:title>02年杜范本稿</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2D4B460D6BB349C78850C171C7D02C6D_13</vt:lpwstr>
  </property>
  <property fmtid="{D5CDD505-2E9C-101B-9397-08002B2CF9AE}" pid="4" name="KSOTemplateDocerSaveRecord">
    <vt:lpwstr>eyJoZGlkIjoiOTNhMzI2NTRjOWZlOWViMDkyNmJiNTlmOGVhMDdjZGQiLCJ1c2VySWQiOiIyNDAyNDY5NjEifQ==</vt:lpwstr>
  </property>
</Properties>
</file>